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14" w:rsidRDefault="008C0614" w:rsidP="004C3A32">
      <w:pPr>
        <w:jc w:val="center"/>
        <w:rPr>
          <w:rFonts w:cs="Times New Roman"/>
          <w:i/>
          <w:iCs/>
          <w:sz w:val="22"/>
          <w:szCs w:val="22"/>
        </w:rPr>
      </w:pPr>
    </w:p>
    <w:p w:rsidR="000441B9" w:rsidRDefault="003C5ADD">
      <w:pPr>
        <w:spacing w:line="276" w:lineRule="auto"/>
        <w:jc w:val="thaiDistribute"/>
        <w:rPr>
          <w:rFonts w:cs="Times New Roman"/>
          <w:i/>
          <w:iCs/>
          <w:sz w:val="22"/>
          <w:szCs w:val="22"/>
        </w:rPr>
      </w:pPr>
      <w:r w:rsidRPr="003C5ADD">
        <w:rPr>
          <w:rFonts w:cs="Times New Roman"/>
          <w:i/>
          <w:iCs/>
          <w:sz w:val="22"/>
          <w:szCs w:val="22"/>
        </w:rPr>
        <w:t>Readers should be aware that only the original Thai text has legal force and that this English translation is strictly for reference. Thailand Futures Exchange Public Company Limited cannot undertake any responsibility for its accuracy nor be held liable for any loss or damages arising from or related to its use.</w:t>
      </w:r>
    </w:p>
    <w:p w:rsidR="000441B9" w:rsidRDefault="000441B9">
      <w:pPr>
        <w:pStyle w:val="Title"/>
        <w:jc w:val="thaiDistribute"/>
        <w:rPr>
          <w:rFonts w:ascii="Times New Roman" w:hAnsi="Times New Roman" w:cs="Times New Roman"/>
          <w:b w:val="0"/>
          <w:bCs w:val="0"/>
          <w:sz w:val="22"/>
          <w:szCs w:val="22"/>
        </w:rPr>
      </w:pPr>
    </w:p>
    <w:p w:rsidR="00281ED0" w:rsidRDefault="003C5ADD" w:rsidP="00281ED0">
      <w:pPr>
        <w:pStyle w:val="Title"/>
        <w:rPr>
          <w:rFonts w:ascii="Times New Roman" w:hAnsi="Times New Roman" w:cs="Times New Roman"/>
          <w:sz w:val="24"/>
          <w:szCs w:val="24"/>
        </w:rPr>
      </w:pPr>
      <w:r w:rsidRPr="003C5ADD">
        <w:rPr>
          <w:rFonts w:ascii="Times New Roman" w:hAnsi="Times New Roman" w:cs="Times New Roman"/>
          <w:sz w:val="24"/>
          <w:szCs w:val="24"/>
        </w:rPr>
        <w:t>Contents</w:t>
      </w:r>
    </w:p>
    <w:p w:rsidR="00DA52B4" w:rsidRPr="008C0614" w:rsidRDefault="00DA52B4" w:rsidP="00281ED0">
      <w:pPr>
        <w:pStyle w:val="Title"/>
        <w:rPr>
          <w:rFonts w:ascii="Times New Roman" w:hAnsi="Times New Roman" w:cs="Times New Roman"/>
          <w:sz w:val="24"/>
          <w:szCs w:val="24"/>
        </w:rPr>
      </w:pPr>
    </w:p>
    <w:p w:rsidR="00281ED0" w:rsidRPr="008C0614" w:rsidRDefault="003C5ADD" w:rsidP="00281ED0">
      <w:pPr>
        <w:spacing w:line="360" w:lineRule="auto"/>
        <w:jc w:val="center"/>
        <w:rPr>
          <w:rFonts w:cs="Times New Roman"/>
          <w:b/>
          <w:bCs/>
          <w:szCs w:val="24"/>
        </w:rPr>
      </w:pPr>
      <w:r w:rsidRPr="003C5ADD">
        <w:rPr>
          <w:rFonts w:cs="Times New Roman"/>
          <w:b/>
          <w:bCs/>
          <w:szCs w:val="24"/>
        </w:rPr>
        <w:t>Regulations</w:t>
      </w:r>
    </w:p>
    <w:p w:rsidR="00281ED0" w:rsidRPr="008C0614" w:rsidRDefault="003C5ADD" w:rsidP="00281ED0">
      <w:pPr>
        <w:pStyle w:val="Heading3"/>
        <w:rPr>
          <w:rFonts w:ascii="Times New Roman" w:hAnsi="Times New Roman" w:cs="Times New Roman"/>
          <w:color w:val="auto"/>
          <w:sz w:val="24"/>
          <w:szCs w:val="24"/>
        </w:rPr>
      </w:pPr>
      <w:r w:rsidRPr="003C5ADD">
        <w:rPr>
          <w:rFonts w:ascii="Times New Roman" w:hAnsi="Times New Roman" w:cs="Times New Roman"/>
          <w:color w:val="auto"/>
          <w:sz w:val="24"/>
          <w:szCs w:val="24"/>
        </w:rPr>
        <w:t>Chapter 200 Definitions</w:t>
      </w:r>
    </w:p>
    <w:p w:rsidR="00281ED0" w:rsidRPr="00327427" w:rsidRDefault="00281ED0" w:rsidP="00281ED0">
      <w:pPr>
        <w:spacing w:line="360" w:lineRule="auto"/>
        <w:jc w:val="right"/>
        <w:rPr>
          <w:rFonts w:cs="Times New Roman"/>
          <w:b/>
          <w:bCs/>
          <w:sz w:val="22"/>
          <w:szCs w:val="22"/>
        </w:rPr>
      </w:pPr>
    </w:p>
    <w:p w:rsidR="009C104A" w:rsidRPr="00327427" w:rsidRDefault="003C5ADD">
      <w:pPr>
        <w:pStyle w:val="Heading1"/>
        <w:tabs>
          <w:tab w:val="left" w:pos="7797"/>
        </w:tabs>
        <w:jc w:val="left"/>
        <w:rPr>
          <w:rFonts w:ascii="Times New Roman" w:hAnsi="Times New Roman" w:cs="Times New Roman"/>
          <w:sz w:val="22"/>
          <w:szCs w:val="22"/>
        </w:rPr>
      </w:pPr>
      <w:r w:rsidRPr="003C5ADD">
        <w:rPr>
          <w:rFonts w:ascii="Times New Roman" w:hAnsi="Times New Roman" w:cs="Times New Roman"/>
          <w:sz w:val="22"/>
          <w:szCs w:val="22"/>
        </w:rPr>
        <w:tab/>
        <w:t>Page</w:t>
      </w:r>
    </w:p>
    <w:p w:rsidR="00281ED0" w:rsidRPr="00327427" w:rsidRDefault="003C5ADD" w:rsidP="00281ED0">
      <w:pPr>
        <w:tabs>
          <w:tab w:val="left" w:pos="720"/>
          <w:tab w:val="left" w:leader="dot" w:pos="7380"/>
          <w:tab w:val="left" w:pos="7740"/>
        </w:tabs>
        <w:spacing w:line="360" w:lineRule="auto"/>
        <w:jc w:val="both"/>
        <w:rPr>
          <w:rFonts w:cs="Times New Roman"/>
          <w:sz w:val="22"/>
          <w:szCs w:val="22"/>
        </w:rPr>
      </w:pPr>
      <w:r w:rsidRPr="003C5ADD">
        <w:rPr>
          <w:rFonts w:cs="Times New Roman"/>
          <w:b/>
          <w:bCs/>
          <w:sz w:val="22"/>
          <w:szCs w:val="22"/>
        </w:rPr>
        <w:t>201</w:t>
      </w:r>
      <w:r w:rsidRPr="003C5ADD">
        <w:rPr>
          <w:rFonts w:cs="Times New Roman"/>
          <w:b/>
          <w:bCs/>
          <w:sz w:val="22"/>
          <w:szCs w:val="22"/>
        </w:rPr>
        <w:tab/>
        <w:t>Definitions</w:t>
      </w:r>
      <w:r w:rsidRPr="003C5ADD">
        <w:rPr>
          <w:rFonts w:cs="Times New Roman"/>
          <w:sz w:val="22"/>
          <w:szCs w:val="22"/>
        </w:rPr>
        <w:tab/>
      </w:r>
      <w:r w:rsidRPr="003C5ADD">
        <w:rPr>
          <w:rFonts w:cs="Times New Roman"/>
          <w:b/>
          <w:bCs/>
          <w:sz w:val="22"/>
          <w:szCs w:val="22"/>
        </w:rPr>
        <w:tab/>
      </w:r>
      <w:r w:rsidRPr="003C5ADD">
        <w:rPr>
          <w:rFonts w:cs="Times New Roman"/>
          <w:sz w:val="22"/>
          <w:szCs w:val="22"/>
        </w:rPr>
        <w:t>200-1</w:t>
      </w:r>
    </w:p>
    <w:p w:rsidR="00281ED0" w:rsidRPr="00327427" w:rsidRDefault="00281ED0" w:rsidP="00281ED0">
      <w:pPr>
        <w:spacing w:line="360" w:lineRule="auto"/>
        <w:jc w:val="center"/>
        <w:rPr>
          <w:rFonts w:cs="Times New Roman"/>
          <w:b/>
          <w:bCs/>
          <w:sz w:val="22"/>
          <w:szCs w:val="22"/>
        </w:rPr>
        <w:sectPr w:rsidR="00281ED0" w:rsidRPr="00327427" w:rsidSect="008C0614">
          <w:headerReference w:type="default" r:id="rId11"/>
          <w:footerReference w:type="default" r:id="rId12"/>
          <w:pgSz w:w="11906" w:h="16838"/>
          <w:pgMar w:top="1808" w:right="1700" w:bottom="1440" w:left="1701" w:header="426" w:footer="720" w:gutter="0"/>
          <w:pgNumType w:start="1" w:chapStyle="1"/>
          <w:cols w:space="720"/>
          <w:docGrid w:linePitch="360"/>
        </w:sectPr>
      </w:pPr>
    </w:p>
    <w:p w:rsidR="00281ED0" w:rsidRPr="00D439F4" w:rsidRDefault="003C5ADD" w:rsidP="00281ED0">
      <w:pPr>
        <w:pStyle w:val="Heading2"/>
        <w:rPr>
          <w:rFonts w:ascii="Times New Roman" w:hAnsi="Times New Roman" w:cs="Times New Roman"/>
          <w:sz w:val="24"/>
          <w:szCs w:val="24"/>
        </w:rPr>
      </w:pPr>
      <w:r w:rsidRPr="003C5ADD">
        <w:rPr>
          <w:rFonts w:ascii="Times New Roman" w:hAnsi="Times New Roman" w:cs="Times New Roman"/>
          <w:sz w:val="24"/>
          <w:szCs w:val="24"/>
        </w:rPr>
        <w:lastRenderedPageBreak/>
        <w:t>Regulations</w:t>
      </w:r>
    </w:p>
    <w:p w:rsidR="00281ED0" w:rsidRPr="00D439F4" w:rsidRDefault="003C5ADD" w:rsidP="00281ED0">
      <w:pPr>
        <w:pStyle w:val="Heading3"/>
        <w:rPr>
          <w:rFonts w:ascii="Times New Roman" w:hAnsi="Times New Roman" w:cs="Times New Roman"/>
          <w:color w:val="auto"/>
          <w:sz w:val="24"/>
          <w:szCs w:val="24"/>
        </w:rPr>
      </w:pPr>
      <w:r w:rsidRPr="003C5ADD">
        <w:rPr>
          <w:rFonts w:ascii="Times New Roman" w:hAnsi="Times New Roman" w:cs="Times New Roman"/>
          <w:color w:val="auto"/>
          <w:sz w:val="24"/>
          <w:szCs w:val="24"/>
        </w:rPr>
        <w:t>Chapter 200 Definitions</w:t>
      </w:r>
    </w:p>
    <w:p w:rsidR="000336A0" w:rsidRDefault="000336A0" w:rsidP="00FC40EB">
      <w:pPr>
        <w:pStyle w:val="Heading4"/>
        <w:spacing w:after="120"/>
        <w:rPr>
          <w:rFonts w:ascii="Times New Roman" w:hAnsi="Times New Roman" w:cs="Times New Roman"/>
          <w:sz w:val="24"/>
          <w:szCs w:val="24"/>
        </w:rPr>
      </w:pPr>
    </w:p>
    <w:p w:rsidR="00281ED0" w:rsidRPr="00D439F4" w:rsidRDefault="003C5ADD" w:rsidP="00FC40EB">
      <w:pPr>
        <w:pStyle w:val="Heading4"/>
        <w:spacing w:after="120"/>
        <w:rPr>
          <w:rFonts w:ascii="Times New Roman" w:hAnsi="Times New Roman" w:cs="Times New Roman"/>
          <w:sz w:val="24"/>
          <w:szCs w:val="24"/>
        </w:rPr>
      </w:pPr>
      <w:r w:rsidRPr="003C5ADD">
        <w:rPr>
          <w:rFonts w:ascii="Times New Roman" w:hAnsi="Times New Roman" w:cs="Times New Roman"/>
          <w:sz w:val="24"/>
          <w:szCs w:val="24"/>
        </w:rPr>
        <w:t>201</w:t>
      </w:r>
      <w:r w:rsidRPr="003C5ADD">
        <w:rPr>
          <w:rFonts w:ascii="Times New Roman" w:hAnsi="Times New Roman" w:cs="Times New Roman"/>
          <w:sz w:val="24"/>
          <w:szCs w:val="24"/>
        </w:rPr>
        <w:tab/>
        <w:t>Definitions</w:t>
      </w:r>
    </w:p>
    <w:p w:rsidR="000441B9" w:rsidRDefault="003C5ADD" w:rsidP="00FC40EB">
      <w:pPr>
        <w:spacing w:after="120" w:line="276" w:lineRule="auto"/>
        <w:jc w:val="both"/>
        <w:rPr>
          <w:rFonts w:cs="Times New Roman"/>
          <w:sz w:val="22"/>
          <w:szCs w:val="22"/>
        </w:rPr>
      </w:pPr>
      <w:r w:rsidRPr="003C5ADD">
        <w:rPr>
          <w:rFonts w:cs="Times New Roman"/>
          <w:sz w:val="22"/>
          <w:szCs w:val="22"/>
        </w:rPr>
        <w:tab/>
        <w:t>“Commodity” means securities, gold, crude oil, or any other property underlying the derivatives contracts as specified by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“Variable” means any foreign exchange rate, interest rate, financial index, securities index or any other variable as specified by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“Derivatives contracts” means any contract which has any one or any combination of the characteristics according to the derivatives contracts Act B.E. 2546, as amended from time to time, and as prescribed by and listed on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 xml:space="preserve">“Futures” means a contract in which one party is obliged to deliver a certain amount of commodity to the other party at a given time in the future, and the other party, in turn, is obliged to make payment for such commodity at a price specified therein; or a contract in which one party is obliged to make payment to the other party, or </w:t>
      </w:r>
      <w:r w:rsidRPr="003C5ADD">
        <w:rPr>
          <w:rFonts w:cs="Times New Roman"/>
          <w:i/>
          <w:iCs/>
          <w:sz w:val="22"/>
          <w:szCs w:val="22"/>
        </w:rPr>
        <w:t>vice versa,</w:t>
      </w:r>
      <w:r w:rsidRPr="003C5ADD">
        <w:rPr>
          <w:rFonts w:cs="Times New Roman"/>
          <w:sz w:val="22"/>
          <w:szCs w:val="22"/>
        </w:rPr>
        <w:t xml:space="preserve"> in the amount which is equivalent to the difference between the price or value of commodity or variable specified in the contract and the price or value of commodity or variable prevailing at a given time or period of time in the future as specified in the contract.</w:t>
      </w:r>
    </w:p>
    <w:p w:rsidR="000441B9" w:rsidRDefault="003C5ADD" w:rsidP="00FC40EB">
      <w:pPr>
        <w:spacing w:after="120" w:line="276" w:lineRule="auto"/>
        <w:ind w:firstLine="360"/>
        <w:jc w:val="both"/>
        <w:rPr>
          <w:rFonts w:cs="Times New Roman"/>
          <w:sz w:val="22"/>
          <w:szCs w:val="22"/>
        </w:rPr>
      </w:pPr>
      <w:r w:rsidRPr="003C5ADD">
        <w:rPr>
          <w:rFonts w:cs="Times New Roman"/>
          <w:sz w:val="22"/>
          <w:szCs w:val="22"/>
        </w:rPr>
        <w:tab/>
        <w:t>*“Options” means the derivatives contracts under which an options buyer/options holder is granted the right to require an options writer/options seller to perform the duties as prescribed, which are categorized into call options and put options.</w:t>
      </w:r>
    </w:p>
    <w:p w:rsidR="000441B9" w:rsidRDefault="003C5ADD" w:rsidP="00FC40EB">
      <w:pPr>
        <w:spacing w:line="276" w:lineRule="auto"/>
        <w:ind w:firstLine="720"/>
        <w:jc w:val="both"/>
        <w:rPr>
          <w:rFonts w:cs="Times New Roman"/>
          <w:sz w:val="22"/>
          <w:szCs w:val="22"/>
        </w:rPr>
      </w:pPr>
      <w:r w:rsidRPr="003C5ADD">
        <w:rPr>
          <w:rFonts w:cs="Times New Roman"/>
          <w:sz w:val="22"/>
          <w:szCs w:val="22"/>
        </w:rPr>
        <w:t>*“Single stock futures” means a futures contract underlined by any particular common stocks which are listed securities.</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(*Added November 14, 2008</w:t>
      </w:r>
      <w:r w:rsidR="0059171B">
        <w:rPr>
          <w:rFonts w:cs="Times New Roman"/>
          <w:i/>
          <w:iCs/>
          <w:spacing w:val="-2"/>
          <w:sz w:val="20"/>
          <w:szCs w:val="20"/>
        </w:rPr>
        <w:t>, force November 24</w:t>
      </w:r>
      <w:proofErr w:type="gramStart"/>
      <w:r w:rsidR="0059171B">
        <w:rPr>
          <w:rFonts w:cs="Times New Roman"/>
          <w:i/>
          <w:iCs/>
          <w:spacing w:val="-2"/>
          <w:sz w:val="20"/>
          <w:szCs w:val="20"/>
        </w:rPr>
        <w:t>,2008</w:t>
      </w:r>
      <w:proofErr w:type="gramEnd"/>
      <w:r w:rsidRPr="003C5ADD">
        <w:rPr>
          <w:rFonts w:cs="Times New Roman"/>
          <w:i/>
          <w:iCs/>
          <w:spacing w:val="-2"/>
          <w:sz w:val="20"/>
          <w:szCs w:val="20"/>
        </w:rPr>
        <w:t>)</w:t>
      </w:r>
    </w:p>
    <w:p w:rsidR="000441B9" w:rsidRDefault="003C5ADD" w:rsidP="00FC40EB">
      <w:pPr>
        <w:spacing w:line="276" w:lineRule="auto"/>
        <w:ind w:firstLine="720"/>
        <w:jc w:val="both"/>
        <w:rPr>
          <w:rFonts w:cs="Times New Roman"/>
          <w:sz w:val="22"/>
          <w:szCs w:val="22"/>
        </w:rPr>
      </w:pPr>
      <w:r w:rsidRPr="003C5ADD">
        <w:rPr>
          <w:rFonts w:cs="Times New Roman"/>
          <w:sz w:val="22"/>
          <w:szCs w:val="22"/>
        </w:rPr>
        <w:t>*“Interest rate futures” means futures, of which the underlying is the interest rate or debt instrument.</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(*Added September 24, 2010</w:t>
      </w:r>
      <w:r w:rsidR="0059171B">
        <w:rPr>
          <w:rFonts w:cs="Times New Roman"/>
          <w:i/>
          <w:iCs/>
          <w:spacing w:val="-2"/>
          <w:sz w:val="20"/>
          <w:szCs w:val="20"/>
        </w:rPr>
        <w:t>, force October 18</w:t>
      </w:r>
      <w:proofErr w:type="gramStart"/>
      <w:r w:rsidR="0059171B">
        <w:rPr>
          <w:rFonts w:cs="Times New Roman"/>
          <w:i/>
          <w:iCs/>
          <w:spacing w:val="-2"/>
          <w:sz w:val="20"/>
          <w:szCs w:val="20"/>
        </w:rPr>
        <w:t>,2010</w:t>
      </w:r>
      <w:proofErr w:type="gramEnd"/>
      <w:r w:rsidR="0059171B">
        <w:rPr>
          <w:rFonts w:cs="Times New Roman"/>
          <w:i/>
          <w:iCs/>
          <w:spacing w:val="-2"/>
          <w:sz w:val="20"/>
          <w:szCs w:val="20"/>
        </w:rPr>
        <w:t xml:space="preserve"> </w:t>
      </w:r>
      <w:r w:rsidRPr="003C5ADD">
        <w:rPr>
          <w:rFonts w:cs="Times New Roman"/>
          <w:i/>
          <w:iCs/>
          <w:spacing w:val="-2"/>
          <w:sz w:val="20"/>
          <w:szCs w:val="20"/>
        </w:rPr>
        <w:t>)</w:t>
      </w:r>
    </w:p>
    <w:p w:rsidR="00203604" w:rsidRPr="00274D4C" w:rsidRDefault="00203604" w:rsidP="000336A0">
      <w:pPr>
        <w:spacing w:line="276" w:lineRule="auto"/>
        <w:jc w:val="both"/>
        <w:rPr>
          <w:rFonts w:cs="Times New Roman"/>
          <w:sz w:val="22"/>
          <w:szCs w:val="22"/>
        </w:rPr>
      </w:pPr>
      <w:r>
        <w:rPr>
          <w:rFonts w:cs="Times New Roman"/>
          <w:szCs w:val="22"/>
        </w:rPr>
        <w:tab/>
      </w:r>
      <w:r w:rsidR="009E2FDB" w:rsidRPr="00274D4C">
        <w:rPr>
          <w:rFonts w:cs="Times New Roman"/>
          <w:sz w:val="22"/>
          <w:szCs w:val="22"/>
        </w:rPr>
        <w:t xml:space="preserve">*“Natural Rubber Ribbed Smoked Sheet No.3 Futures Contract” means </w:t>
      </w:r>
      <w:proofErr w:type="gramStart"/>
      <w:r w:rsidR="009E2FDB" w:rsidRPr="00274D4C">
        <w:rPr>
          <w:rFonts w:cs="Times New Roman"/>
          <w:sz w:val="22"/>
          <w:szCs w:val="22"/>
        </w:rPr>
        <w:t>a futures contract, that have</w:t>
      </w:r>
      <w:proofErr w:type="gramEnd"/>
      <w:r w:rsidR="009E2FDB" w:rsidRPr="00274D4C">
        <w:rPr>
          <w:rFonts w:cs="Times New Roman"/>
          <w:sz w:val="22"/>
          <w:szCs w:val="22"/>
        </w:rPr>
        <w:t xml:space="preserve"> Natural Rubber Ribbed Smoked Sheet No.3.as an underlying asset.</w:t>
      </w:r>
    </w:p>
    <w:p w:rsidR="00203604" w:rsidRDefault="009E2FDB" w:rsidP="00203604">
      <w:pPr>
        <w:spacing w:after="120" w:line="276" w:lineRule="auto"/>
        <w:jc w:val="both"/>
        <w:rPr>
          <w:rFonts w:cs="Times New Roman"/>
          <w:i/>
          <w:iCs/>
          <w:sz w:val="20"/>
          <w:szCs w:val="20"/>
        </w:rPr>
      </w:pPr>
      <w:r w:rsidRPr="00274D4C">
        <w:rPr>
          <w:rFonts w:cs="Times New Roman"/>
          <w:i/>
          <w:iCs/>
          <w:sz w:val="20"/>
          <w:szCs w:val="20"/>
        </w:rPr>
        <w:tab/>
        <w:t>(*Amended August 23, 2017, force September 4, 2017)</w:t>
      </w:r>
    </w:p>
    <w:p w:rsidR="00000000" w:rsidRDefault="00203604">
      <w:pPr>
        <w:spacing w:before="120" w:line="276" w:lineRule="auto"/>
        <w:jc w:val="both"/>
        <w:rPr>
          <w:rFonts w:cs="Times New Roman"/>
          <w:sz w:val="22"/>
          <w:szCs w:val="22"/>
        </w:rPr>
      </w:pPr>
      <w:r>
        <w:rPr>
          <w:rFonts w:cs="Times New Roman"/>
          <w:szCs w:val="22"/>
        </w:rPr>
        <w:tab/>
      </w:r>
      <w:r w:rsidRPr="00203604">
        <w:rPr>
          <w:rFonts w:cs="Times New Roman"/>
          <w:sz w:val="22"/>
          <w:szCs w:val="22"/>
        </w:rPr>
        <w:t>*“Delivery of commodity” means the action to deliver or taking delivery of the commodity in accordance with the obligations</w:t>
      </w:r>
      <w:r w:rsidRPr="00203604" w:rsidDel="009A112E">
        <w:rPr>
          <w:rFonts w:cs="Times New Roman"/>
          <w:sz w:val="22"/>
          <w:szCs w:val="22"/>
        </w:rPr>
        <w:t xml:space="preserve"> </w:t>
      </w:r>
      <w:r w:rsidRPr="00203604">
        <w:rPr>
          <w:rFonts w:cs="Times New Roman"/>
          <w:sz w:val="22"/>
          <w:szCs w:val="22"/>
        </w:rPr>
        <w:t>specified in the derivatives contract.</w:t>
      </w:r>
    </w:p>
    <w:p w:rsidR="00203604" w:rsidRDefault="00203604" w:rsidP="000336A0">
      <w:pPr>
        <w:spacing w:before="120" w:line="276" w:lineRule="auto"/>
        <w:jc w:val="both"/>
        <w:rPr>
          <w:rFonts w:cs="Times New Roman"/>
          <w:i/>
          <w:iCs/>
          <w:sz w:val="20"/>
          <w:szCs w:val="20"/>
        </w:rPr>
      </w:pPr>
      <w:r w:rsidRPr="000336A0">
        <w:rPr>
          <w:rFonts w:cs="Times New Roman"/>
          <w:i/>
          <w:iCs/>
          <w:sz w:val="20"/>
          <w:szCs w:val="20"/>
        </w:rPr>
        <w:tab/>
        <w:t>(*Amended December 18, 2015, force Jan 4, 2016)</w:t>
      </w:r>
    </w:p>
    <w:p w:rsidR="000441B9" w:rsidRDefault="003C5ADD" w:rsidP="000336A0">
      <w:pPr>
        <w:spacing w:before="120" w:line="276" w:lineRule="auto"/>
        <w:ind w:firstLine="720"/>
        <w:jc w:val="both"/>
        <w:rPr>
          <w:rFonts w:cs="Times New Roman"/>
          <w:sz w:val="22"/>
          <w:szCs w:val="22"/>
        </w:rPr>
      </w:pPr>
      <w:r w:rsidRPr="003C5ADD">
        <w:rPr>
          <w:rFonts w:cs="Times New Roman"/>
          <w:spacing w:val="-2"/>
          <w:sz w:val="22"/>
          <w:szCs w:val="22"/>
        </w:rPr>
        <w:t>*</w:t>
      </w:r>
      <w:r w:rsidRPr="003C5ADD">
        <w:rPr>
          <w:rFonts w:cs="Times New Roman"/>
          <w:sz w:val="22"/>
          <w:szCs w:val="22"/>
        </w:rPr>
        <w:t>“Gold futures” means a futures contract of which the underlying is gold.</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 xml:space="preserve"> </w:t>
      </w:r>
      <w:r w:rsidRPr="00AB54D2">
        <w:rPr>
          <w:rFonts w:cs="Times New Roman"/>
          <w:i/>
          <w:iCs/>
          <w:spacing w:val="-2"/>
          <w:sz w:val="20"/>
          <w:szCs w:val="20"/>
        </w:rPr>
        <w:t>(*Added November 26, 2008</w:t>
      </w:r>
      <w:r w:rsidR="00F401C2" w:rsidRPr="00AB54D2">
        <w:rPr>
          <w:rFonts w:cs="Times New Roman"/>
          <w:i/>
          <w:iCs/>
          <w:spacing w:val="-2"/>
          <w:sz w:val="20"/>
          <w:szCs w:val="20"/>
        </w:rPr>
        <w:t>,</w:t>
      </w:r>
      <w:r w:rsidR="00AB54D2" w:rsidRPr="00AB54D2">
        <w:rPr>
          <w:rFonts w:cs="Times New Roman"/>
          <w:i/>
          <w:iCs/>
          <w:spacing w:val="-2"/>
          <w:sz w:val="20"/>
          <w:szCs w:val="20"/>
        </w:rPr>
        <w:t xml:space="preserve"> </w:t>
      </w:r>
      <w:r w:rsidR="000336A0" w:rsidRPr="00AB54D2">
        <w:rPr>
          <w:rFonts w:cs="Times New Roman"/>
          <w:i/>
          <w:iCs/>
          <w:spacing w:val="-2"/>
          <w:sz w:val="20"/>
          <w:szCs w:val="20"/>
        </w:rPr>
        <w:t xml:space="preserve">force </w:t>
      </w:r>
      <w:r w:rsidR="00AB54D2" w:rsidRPr="00AB54D2">
        <w:rPr>
          <w:rFonts w:cs="Times New Roman"/>
          <w:i/>
          <w:iCs/>
          <w:spacing w:val="-2"/>
          <w:sz w:val="20"/>
          <w:szCs w:val="20"/>
        </w:rPr>
        <w:t xml:space="preserve">November 26, </w:t>
      </w:r>
      <w:proofErr w:type="gramStart"/>
      <w:r w:rsidR="00AB54D2" w:rsidRPr="00AB54D2">
        <w:rPr>
          <w:rFonts w:cs="Times New Roman"/>
          <w:i/>
          <w:iCs/>
          <w:spacing w:val="-2"/>
          <w:sz w:val="20"/>
          <w:szCs w:val="20"/>
        </w:rPr>
        <w:t>2008</w:t>
      </w:r>
      <w:r w:rsidR="0059171B" w:rsidRPr="00AB54D2">
        <w:rPr>
          <w:rFonts w:cs="Times New Roman"/>
          <w:i/>
          <w:iCs/>
          <w:spacing w:val="-2"/>
          <w:sz w:val="20"/>
          <w:szCs w:val="20"/>
        </w:rPr>
        <w:t xml:space="preserve"> </w:t>
      </w:r>
      <w:r w:rsidRPr="00AB54D2">
        <w:rPr>
          <w:rFonts w:cs="Times New Roman"/>
          <w:i/>
          <w:iCs/>
          <w:spacing w:val="-2"/>
          <w:sz w:val="20"/>
          <w:szCs w:val="20"/>
        </w:rPr>
        <w:t>)</w:t>
      </w:r>
      <w:proofErr w:type="gramEnd"/>
    </w:p>
    <w:p w:rsidR="000441B9" w:rsidRDefault="003C5ADD" w:rsidP="00FC40EB">
      <w:pPr>
        <w:pStyle w:val="BodyText"/>
        <w:spacing w:after="120" w:line="276" w:lineRule="auto"/>
        <w:ind w:firstLine="720"/>
        <w:rPr>
          <w:rFonts w:ascii="Times New Roman" w:hAnsi="Times New Roman" w:cs="Times New Roman"/>
          <w:sz w:val="22"/>
          <w:szCs w:val="22"/>
        </w:rPr>
      </w:pPr>
      <w:proofErr w:type="gramStart"/>
      <w:r w:rsidRPr="003C5ADD">
        <w:rPr>
          <w:rFonts w:ascii="Times New Roman" w:hAnsi="Times New Roman" w:cs="Times New Roman"/>
          <w:sz w:val="22"/>
          <w:szCs w:val="22"/>
        </w:rPr>
        <w:t>*“Silver Futures” means futures contracts with silver as the underlying commodity.</w:t>
      </w:r>
      <w:proofErr w:type="gramEnd"/>
    </w:p>
    <w:p w:rsidR="000441B9" w:rsidRDefault="003C5ADD" w:rsidP="00FC40EB">
      <w:pPr>
        <w:pStyle w:val="BodyText"/>
        <w:spacing w:after="120" w:line="276" w:lineRule="auto"/>
        <w:rPr>
          <w:rFonts w:ascii="Times New Roman" w:hAnsi="Times New Roman" w:cs="Times New Roman"/>
          <w:sz w:val="22"/>
          <w:szCs w:val="22"/>
        </w:rPr>
      </w:pPr>
      <w:r w:rsidRPr="003C5ADD">
        <w:rPr>
          <w:rFonts w:ascii="Times New Roman" w:hAnsi="Times New Roman" w:cs="Times New Roman"/>
          <w:sz w:val="22"/>
          <w:szCs w:val="22"/>
        </w:rPr>
        <w:lastRenderedPageBreak/>
        <w:tab/>
        <w:t>*“Precious Metal” means precious metal in accordance with the notification of the Securities and Exchange Commission regarding the approval for undertaking derivatives business in the category of derivatives brokers limited to precious metal futures contracts.</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(*Added May 25, 2011.</w:t>
      </w:r>
      <w:r w:rsidR="00F401C2" w:rsidRPr="00F401C2">
        <w:rPr>
          <w:rFonts w:cs="Times New Roman"/>
          <w:i/>
          <w:iCs/>
          <w:spacing w:val="-2"/>
          <w:sz w:val="20"/>
          <w:szCs w:val="20"/>
        </w:rPr>
        <w:t xml:space="preserve"> </w:t>
      </w:r>
      <w:r w:rsidR="00F401C2">
        <w:rPr>
          <w:rFonts w:cs="Times New Roman"/>
          <w:i/>
          <w:iCs/>
          <w:spacing w:val="-2"/>
          <w:sz w:val="20"/>
          <w:szCs w:val="20"/>
        </w:rPr>
        <w:t>force June 20, 2011)</w:t>
      </w:r>
    </w:p>
    <w:p w:rsidR="000441B9" w:rsidRDefault="003C5ADD" w:rsidP="00FC40EB">
      <w:pPr>
        <w:pStyle w:val="BodyText"/>
        <w:spacing w:after="120" w:line="276" w:lineRule="auto"/>
        <w:ind w:firstLine="720"/>
        <w:rPr>
          <w:rFonts w:ascii="Times New Roman" w:hAnsi="Times New Roman" w:cs="Times New Roman"/>
          <w:spacing w:val="-2"/>
          <w:sz w:val="22"/>
          <w:szCs w:val="22"/>
        </w:rPr>
      </w:pPr>
      <w:r w:rsidRPr="003C5ADD">
        <w:rPr>
          <w:rFonts w:ascii="Times New Roman" w:hAnsi="Times New Roman" w:cs="Times New Roman"/>
          <w:spacing w:val="-2"/>
          <w:sz w:val="22"/>
          <w:szCs w:val="22"/>
        </w:rPr>
        <w:t>*“Crude Oil Futures</w:t>
      </w:r>
      <w:proofErr w:type="gramStart"/>
      <w:r w:rsidRPr="003C5ADD">
        <w:rPr>
          <w:rFonts w:ascii="Times New Roman" w:hAnsi="Times New Roman" w:cs="Times New Roman"/>
          <w:spacing w:val="-2"/>
          <w:sz w:val="22"/>
          <w:szCs w:val="22"/>
        </w:rPr>
        <w:t>”  means</w:t>
      </w:r>
      <w:proofErr w:type="gramEnd"/>
      <w:r w:rsidRPr="003C5ADD">
        <w:rPr>
          <w:rFonts w:ascii="Times New Roman" w:hAnsi="Times New Roman" w:cs="Times New Roman"/>
          <w:spacing w:val="-2"/>
          <w:sz w:val="22"/>
          <w:szCs w:val="22"/>
        </w:rPr>
        <w:t xml:space="preserve"> futures contracts whose underlying commodity is crude oil.</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(*Added September 20, 2011.</w:t>
      </w:r>
      <w:r w:rsidR="00F401C2" w:rsidRPr="00F401C2">
        <w:rPr>
          <w:rFonts w:cs="Times New Roman"/>
          <w:i/>
          <w:iCs/>
          <w:spacing w:val="-2"/>
          <w:sz w:val="20"/>
          <w:szCs w:val="20"/>
        </w:rPr>
        <w:t xml:space="preserve"> </w:t>
      </w:r>
      <w:r w:rsidR="00F401C2">
        <w:rPr>
          <w:rFonts w:cs="Times New Roman"/>
          <w:i/>
          <w:iCs/>
          <w:spacing w:val="-2"/>
          <w:sz w:val="20"/>
          <w:szCs w:val="20"/>
        </w:rPr>
        <w:t xml:space="preserve">force October </w:t>
      </w:r>
      <w:proofErr w:type="gramStart"/>
      <w:r w:rsidR="00F401C2">
        <w:rPr>
          <w:rFonts w:cs="Times New Roman"/>
          <w:i/>
          <w:iCs/>
          <w:spacing w:val="-2"/>
          <w:sz w:val="20"/>
          <w:szCs w:val="20"/>
        </w:rPr>
        <w:t>17 ,20011</w:t>
      </w:r>
      <w:proofErr w:type="gramEnd"/>
      <w:r w:rsidR="00F401C2">
        <w:rPr>
          <w:rFonts w:cs="Times New Roman"/>
          <w:i/>
          <w:iCs/>
          <w:spacing w:val="-2"/>
          <w:sz w:val="20"/>
          <w:szCs w:val="20"/>
        </w:rPr>
        <w:t xml:space="preserve"> </w:t>
      </w:r>
      <w:r w:rsidRPr="003C5ADD">
        <w:rPr>
          <w:rFonts w:cs="Times New Roman"/>
          <w:i/>
          <w:iCs/>
          <w:spacing w:val="-2"/>
          <w:sz w:val="20"/>
          <w:szCs w:val="20"/>
        </w:rPr>
        <w:t>)</w:t>
      </w:r>
    </w:p>
    <w:p w:rsidR="000441B9" w:rsidRDefault="003C5ADD" w:rsidP="00FC40EB">
      <w:pPr>
        <w:spacing w:after="120" w:line="276" w:lineRule="auto"/>
        <w:ind w:firstLine="748"/>
        <w:jc w:val="both"/>
        <w:rPr>
          <w:rFonts w:cs="Times New Roman"/>
          <w:sz w:val="22"/>
          <w:szCs w:val="22"/>
        </w:rPr>
      </w:pPr>
      <w:r w:rsidRPr="003C5ADD">
        <w:rPr>
          <w:rFonts w:cs="Times New Roman"/>
          <w:sz w:val="22"/>
          <w:szCs w:val="22"/>
        </w:rPr>
        <w:t>*“Currency futures” means a futures contract of which the underlying is currency.</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(*Added May 16, 2012</w:t>
      </w:r>
      <w:r w:rsidR="00556463">
        <w:rPr>
          <w:rFonts w:cs="Times New Roman"/>
          <w:i/>
          <w:iCs/>
          <w:spacing w:val="-2"/>
          <w:sz w:val="20"/>
          <w:szCs w:val="20"/>
        </w:rPr>
        <w:t>,</w:t>
      </w:r>
      <w:r w:rsidR="00556463" w:rsidRPr="00556463">
        <w:rPr>
          <w:rFonts w:cs="Times New Roman"/>
          <w:i/>
          <w:iCs/>
          <w:spacing w:val="-2"/>
          <w:sz w:val="20"/>
          <w:szCs w:val="20"/>
        </w:rPr>
        <w:t xml:space="preserve"> </w:t>
      </w:r>
      <w:r w:rsidR="00556463">
        <w:rPr>
          <w:rFonts w:cs="Times New Roman"/>
          <w:i/>
          <w:iCs/>
          <w:spacing w:val="-2"/>
          <w:sz w:val="20"/>
          <w:szCs w:val="20"/>
        </w:rPr>
        <w:t>force June 5</w:t>
      </w:r>
      <w:proofErr w:type="gramStart"/>
      <w:r w:rsidR="00556463">
        <w:rPr>
          <w:rFonts w:cs="Times New Roman"/>
          <w:i/>
          <w:iCs/>
          <w:spacing w:val="-2"/>
          <w:sz w:val="20"/>
          <w:szCs w:val="20"/>
        </w:rPr>
        <w:t>,2012</w:t>
      </w:r>
      <w:proofErr w:type="gramEnd"/>
      <w:r w:rsidRPr="003C5ADD">
        <w:rPr>
          <w:rFonts w:cs="Times New Roman"/>
          <w:i/>
          <w:iCs/>
          <w:spacing w:val="-2"/>
          <w:sz w:val="20"/>
          <w:szCs w:val="20"/>
        </w:rPr>
        <w:t>)</w:t>
      </w:r>
    </w:p>
    <w:p w:rsidR="00590900" w:rsidRPr="00327427" w:rsidRDefault="003C5ADD" w:rsidP="00FC40EB">
      <w:pPr>
        <w:spacing w:after="120"/>
        <w:ind w:firstLine="748"/>
        <w:jc w:val="both"/>
        <w:rPr>
          <w:rFonts w:cs="Times New Roman"/>
          <w:sz w:val="22"/>
          <w:szCs w:val="22"/>
        </w:rPr>
      </w:pPr>
      <w:r w:rsidRPr="003C5ADD">
        <w:rPr>
          <w:rFonts w:cs="Times New Roman"/>
          <w:sz w:val="22"/>
          <w:szCs w:val="22"/>
        </w:rPr>
        <w:t xml:space="preserve">*“Sector futures” means futures whose </w:t>
      </w:r>
      <w:proofErr w:type="spellStart"/>
      <w:r w:rsidRPr="003C5ADD">
        <w:rPr>
          <w:rFonts w:cs="Times New Roman"/>
          <w:sz w:val="22"/>
          <w:szCs w:val="22"/>
        </w:rPr>
        <w:t>underlyings</w:t>
      </w:r>
      <w:proofErr w:type="spellEnd"/>
      <w:r w:rsidRPr="003C5ADD">
        <w:rPr>
          <w:rFonts w:cs="Times New Roman"/>
          <w:sz w:val="22"/>
          <w:szCs w:val="22"/>
        </w:rPr>
        <w:t xml:space="preserve"> are business sector indices</w:t>
      </w:r>
    </w:p>
    <w:p w:rsidR="00590900" w:rsidRPr="008C0614" w:rsidRDefault="003C5ADD" w:rsidP="00FC40EB">
      <w:pPr>
        <w:spacing w:after="120" w:line="360" w:lineRule="auto"/>
        <w:ind w:firstLine="720"/>
        <w:jc w:val="both"/>
        <w:rPr>
          <w:rFonts w:cs="Times New Roman"/>
          <w:i/>
          <w:iCs/>
          <w:spacing w:val="-2"/>
          <w:sz w:val="20"/>
          <w:szCs w:val="20"/>
        </w:rPr>
      </w:pPr>
      <w:r w:rsidRPr="003C5ADD">
        <w:rPr>
          <w:rFonts w:cs="Times New Roman"/>
          <w:i/>
          <w:iCs/>
          <w:spacing w:val="-2"/>
          <w:sz w:val="20"/>
          <w:szCs w:val="20"/>
        </w:rPr>
        <w:t>(*Added September 14, 2012</w:t>
      </w:r>
      <w:proofErr w:type="gramStart"/>
      <w:r w:rsidR="00556463">
        <w:rPr>
          <w:rFonts w:cs="Times New Roman"/>
          <w:i/>
          <w:iCs/>
          <w:spacing w:val="-2"/>
          <w:sz w:val="20"/>
          <w:szCs w:val="20"/>
        </w:rPr>
        <w:t xml:space="preserve">, </w:t>
      </w:r>
      <w:r w:rsidR="00556463" w:rsidRPr="00556463">
        <w:rPr>
          <w:rFonts w:cs="Times New Roman"/>
          <w:i/>
          <w:iCs/>
          <w:spacing w:val="-2"/>
          <w:sz w:val="20"/>
          <w:szCs w:val="20"/>
        </w:rPr>
        <w:t xml:space="preserve"> </w:t>
      </w:r>
      <w:r w:rsidR="00556463">
        <w:rPr>
          <w:rFonts w:cs="Times New Roman"/>
          <w:i/>
          <w:iCs/>
          <w:spacing w:val="-2"/>
          <w:sz w:val="20"/>
          <w:szCs w:val="20"/>
        </w:rPr>
        <w:t>force</w:t>
      </w:r>
      <w:proofErr w:type="gramEnd"/>
      <w:r w:rsidR="00556463">
        <w:rPr>
          <w:rFonts w:cs="Times New Roman"/>
          <w:i/>
          <w:iCs/>
          <w:spacing w:val="-2"/>
          <w:sz w:val="20"/>
          <w:szCs w:val="20"/>
        </w:rPr>
        <w:t xml:space="preserve"> October 29,2012)</w:t>
      </w:r>
    </w:p>
    <w:p w:rsidR="004E5BFE" w:rsidRPr="00327427" w:rsidRDefault="003C5ADD" w:rsidP="00FC40EB">
      <w:pPr>
        <w:spacing w:after="120"/>
        <w:ind w:firstLine="748"/>
        <w:jc w:val="both"/>
        <w:rPr>
          <w:rFonts w:cs="Times New Roman"/>
          <w:sz w:val="22"/>
          <w:szCs w:val="22"/>
        </w:rPr>
      </w:pPr>
      <w:r w:rsidRPr="003C5ADD">
        <w:rPr>
          <w:rFonts w:cs="Times New Roman"/>
          <w:sz w:val="22"/>
          <w:szCs w:val="22"/>
        </w:rPr>
        <w:t>*“Index Options” means options of which the underlying is financial index or securities index.</w:t>
      </w:r>
    </w:p>
    <w:p w:rsidR="000441B9" w:rsidRDefault="003C5ADD" w:rsidP="00FC40EB">
      <w:pPr>
        <w:spacing w:after="120" w:line="276" w:lineRule="auto"/>
        <w:ind w:firstLine="748"/>
        <w:jc w:val="both"/>
        <w:rPr>
          <w:rFonts w:cs="Times New Roman"/>
          <w:sz w:val="22"/>
          <w:szCs w:val="22"/>
        </w:rPr>
      </w:pPr>
      <w:r w:rsidRPr="003C5ADD">
        <w:rPr>
          <w:rFonts w:cs="Times New Roman"/>
          <w:sz w:val="22"/>
          <w:szCs w:val="22"/>
        </w:rPr>
        <w:t>*“Options buyer/options holder” means a person who holds a long position in options, and has the following rights towards an options writer/options seller through its payment of a premium in exchange of those rights:</w:t>
      </w:r>
    </w:p>
    <w:p w:rsidR="000441B9" w:rsidRDefault="003C5ADD" w:rsidP="00FC40EB">
      <w:pPr>
        <w:spacing w:after="120" w:line="276" w:lineRule="auto"/>
        <w:ind w:firstLine="993"/>
        <w:jc w:val="both"/>
        <w:rPr>
          <w:rFonts w:cs="Times New Roman"/>
          <w:sz w:val="22"/>
          <w:szCs w:val="22"/>
        </w:rPr>
      </w:pPr>
      <w:r w:rsidRPr="003C5ADD">
        <w:rPr>
          <w:rFonts w:cs="Times New Roman"/>
          <w:sz w:val="22"/>
          <w:szCs w:val="22"/>
        </w:rPr>
        <w:t>(1)</w:t>
      </w:r>
      <w:r w:rsidRPr="003C5ADD">
        <w:rPr>
          <w:rFonts w:cs="Times New Roman"/>
          <w:sz w:val="22"/>
          <w:szCs w:val="22"/>
        </w:rPr>
        <w:tab/>
      </w:r>
      <w:proofErr w:type="gramStart"/>
      <w:r w:rsidRPr="003C5ADD">
        <w:rPr>
          <w:rFonts w:cs="Times New Roman"/>
          <w:sz w:val="22"/>
          <w:szCs w:val="22"/>
        </w:rPr>
        <w:t>to</w:t>
      </w:r>
      <w:proofErr w:type="gramEnd"/>
      <w:r w:rsidRPr="003C5ADD">
        <w:rPr>
          <w:rFonts w:cs="Times New Roman"/>
          <w:sz w:val="22"/>
          <w:szCs w:val="22"/>
        </w:rPr>
        <w:t xml:space="preserve"> buy or to sell the underlying at a given time or period in the future as specified in the options; and</w:t>
      </w:r>
    </w:p>
    <w:p w:rsidR="000441B9" w:rsidRDefault="003C5ADD" w:rsidP="00FC40EB">
      <w:pPr>
        <w:spacing w:after="120" w:line="276" w:lineRule="auto"/>
        <w:ind w:firstLine="993"/>
        <w:jc w:val="both"/>
        <w:rPr>
          <w:rFonts w:cs="Times New Roman"/>
          <w:sz w:val="22"/>
          <w:szCs w:val="22"/>
        </w:rPr>
      </w:pPr>
      <w:r w:rsidRPr="003C5ADD">
        <w:rPr>
          <w:rFonts w:cs="Times New Roman"/>
          <w:sz w:val="22"/>
          <w:szCs w:val="22"/>
        </w:rPr>
        <w:t>(2)</w:t>
      </w:r>
      <w:r w:rsidRPr="003C5ADD">
        <w:rPr>
          <w:rFonts w:cs="Times New Roman"/>
          <w:sz w:val="22"/>
          <w:szCs w:val="22"/>
        </w:rPr>
        <w:tab/>
        <w:t>to receive payment in the amount equivalent to the difference between the price or value of the commodity or variable as specified in the options and the price or value of the commodity or variable prevailing at a given time or period in the future as specified in the options.</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proofErr w:type="gramStart"/>
      <w:r w:rsidR="00556463">
        <w:rPr>
          <w:rFonts w:cs="Times New Roman"/>
          <w:i/>
          <w:iCs/>
          <w:spacing w:val="-2"/>
          <w:sz w:val="20"/>
          <w:szCs w:val="20"/>
        </w:rPr>
        <w:t>,  force</w:t>
      </w:r>
      <w:proofErr w:type="gramEnd"/>
      <w:r w:rsidR="00556463">
        <w:rPr>
          <w:rFonts w:cs="Times New Roman"/>
          <w:i/>
          <w:iCs/>
          <w:spacing w:val="-2"/>
          <w:sz w:val="20"/>
          <w:szCs w:val="20"/>
        </w:rPr>
        <w:t xml:space="preserve"> July 16,2007</w:t>
      </w:r>
      <w:r w:rsidRPr="003C5ADD">
        <w:rPr>
          <w:rFonts w:cs="Times New Roman"/>
          <w:i/>
          <w:iCs/>
          <w:spacing w:val="-2"/>
          <w:sz w:val="20"/>
          <w:szCs w:val="20"/>
        </w:rPr>
        <w:t>)</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t>*“Options writer/options seller” means a person who holds a short position in options and has the duties towards an options buyer/options holder in return of the receipt of payment of a premium:</w:t>
      </w:r>
    </w:p>
    <w:p w:rsidR="000441B9" w:rsidRDefault="003C5ADD" w:rsidP="00FC40EB">
      <w:pPr>
        <w:tabs>
          <w:tab w:val="left" w:pos="993"/>
        </w:tabs>
        <w:spacing w:after="120" w:line="276" w:lineRule="auto"/>
        <w:jc w:val="both"/>
        <w:rPr>
          <w:rFonts w:cs="Times New Roman"/>
          <w:sz w:val="22"/>
          <w:szCs w:val="22"/>
        </w:rPr>
      </w:pPr>
      <w:r w:rsidRPr="003C5ADD">
        <w:rPr>
          <w:rFonts w:cs="Times New Roman"/>
          <w:sz w:val="22"/>
          <w:szCs w:val="22"/>
        </w:rPr>
        <w:tab/>
        <w:t>(1)</w:t>
      </w:r>
      <w:r w:rsidRPr="003C5ADD">
        <w:rPr>
          <w:rFonts w:cs="Times New Roman"/>
          <w:sz w:val="22"/>
          <w:szCs w:val="22"/>
        </w:rPr>
        <w:tab/>
      </w:r>
      <w:proofErr w:type="gramStart"/>
      <w:r w:rsidRPr="003C5ADD">
        <w:rPr>
          <w:rFonts w:cs="Times New Roman"/>
          <w:sz w:val="22"/>
          <w:szCs w:val="22"/>
        </w:rPr>
        <w:t>to</w:t>
      </w:r>
      <w:proofErr w:type="gramEnd"/>
      <w:r w:rsidRPr="003C5ADD">
        <w:rPr>
          <w:rFonts w:cs="Times New Roman"/>
          <w:sz w:val="22"/>
          <w:szCs w:val="22"/>
        </w:rPr>
        <w:t xml:space="preserve"> buy or to sell the underlying at a given time or period in the future as specified in the options; and</w:t>
      </w:r>
    </w:p>
    <w:p w:rsidR="000441B9" w:rsidRDefault="003C5ADD" w:rsidP="00FC40EB">
      <w:pPr>
        <w:tabs>
          <w:tab w:val="left" w:pos="993"/>
        </w:tabs>
        <w:spacing w:after="120" w:line="276" w:lineRule="auto"/>
        <w:jc w:val="both"/>
        <w:rPr>
          <w:rFonts w:cs="Times New Roman"/>
          <w:sz w:val="22"/>
          <w:szCs w:val="22"/>
        </w:rPr>
      </w:pPr>
      <w:r w:rsidRPr="003C5ADD">
        <w:rPr>
          <w:rFonts w:cs="Times New Roman"/>
          <w:sz w:val="22"/>
          <w:szCs w:val="22"/>
        </w:rPr>
        <w:tab/>
        <w:t>(2)</w:t>
      </w:r>
      <w:r w:rsidRPr="003C5ADD">
        <w:rPr>
          <w:rFonts w:cs="Times New Roman"/>
          <w:sz w:val="22"/>
          <w:szCs w:val="22"/>
        </w:rPr>
        <w:tab/>
        <w:t>to make payment in the amount equivalent to the difference between the price or value of the commodity or variable as specified in the options and the price or value of the commodity or variable prevailing at a given time or period in the future as specified in the options.</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556463">
        <w:rPr>
          <w:rFonts w:cs="Times New Roman"/>
          <w:i/>
          <w:iCs/>
          <w:spacing w:val="-2"/>
          <w:sz w:val="20"/>
          <w:szCs w:val="20"/>
        </w:rPr>
        <w:t>, force July 16</w:t>
      </w:r>
      <w:proofErr w:type="gramStart"/>
      <w:r w:rsidR="00556463">
        <w:rPr>
          <w:rFonts w:cs="Times New Roman"/>
          <w:i/>
          <w:iCs/>
          <w:spacing w:val="-2"/>
          <w:sz w:val="20"/>
          <w:szCs w:val="20"/>
        </w:rPr>
        <w:t>,2007</w:t>
      </w:r>
      <w:proofErr w:type="gramEnd"/>
      <w:r w:rsidRPr="003C5ADD">
        <w:rPr>
          <w:rFonts w:cs="Times New Roman"/>
          <w:i/>
          <w:iCs/>
          <w:spacing w:val="-2"/>
          <w:sz w:val="20"/>
          <w:szCs w:val="20"/>
        </w:rPr>
        <w:t>)</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t xml:space="preserve">*“Premium” means the trading price agreed between an options buyer/options holder and an options writer/options seller so that the options buyer/options holder shall acquire the rights under the options and the options writer/options seller shall perform the duties </w:t>
      </w:r>
      <w:proofErr w:type="spellStart"/>
      <w:r w:rsidRPr="003C5ADD">
        <w:rPr>
          <w:rFonts w:cs="Times New Roman"/>
          <w:sz w:val="22"/>
          <w:szCs w:val="22"/>
        </w:rPr>
        <w:t>thereunder</w:t>
      </w:r>
      <w:proofErr w:type="spellEnd"/>
      <w:r w:rsidRPr="003C5ADD">
        <w:rPr>
          <w:rFonts w:cs="Times New Roman"/>
          <w:sz w:val="22"/>
          <w:szCs w:val="22"/>
        </w:rPr>
        <w:t>.</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proofErr w:type="gramStart"/>
      <w:r w:rsidR="00556463">
        <w:rPr>
          <w:rFonts w:cs="Times New Roman"/>
          <w:i/>
          <w:iCs/>
          <w:spacing w:val="-2"/>
          <w:sz w:val="20"/>
          <w:szCs w:val="20"/>
        </w:rPr>
        <w:t>,  force</w:t>
      </w:r>
      <w:proofErr w:type="gramEnd"/>
      <w:r w:rsidR="00556463">
        <w:rPr>
          <w:rFonts w:cs="Times New Roman"/>
          <w:i/>
          <w:iCs/>
          <w:spacing w:val="-2"/>
          <w:sz w:val="20"/>
          <w:szCs w:val="20"/>
        </w:rPr>
        <w:t xml:space="preserve"> July 16,2007</w:t>
      </w:r>
      <w:r w:rsidRPr="003C5ADD">
        <w:rPr>
          <w:rFonts w:cs="Times New Roman"/>
          <w:i/>
          <w:iCs/>
          <w:spacing w:val="-2"/>
          <w:sz w:val="20"/>
          <w:szCs w:val="20"/>
        </w:rPr>
        <w:t>)</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lastRenderedPageBreak/>
        <w:t>*“Strike price/exercise price” means the price at which an options buyer/options holder can exercise its right to buy or sell the underlying in accordance with the conditions specified in the options contract specification.</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556463">
        <w:rPr>
          <w:rFonts w:cs="Times New Roman"/>
          <w:i/>
          <w:iCs/>
          <w:spacing w:val="-2"/>
          <w:sz w:val="20"/>
          <w:szCs w:val="20"/>
        </w:rPr>
        <w:t>, force July 16</w:t>
      </w:r>
      <w:proofErr w:type="gramStart"/>
      <w:r w:rsidR="00556463">
        <w:rPr>
          <w:rFonts w:cs="Times New Roman"/>
          <w:i/>
          <w:iCs/>
          <w:spacing w:val="-2"/>
          <w:sz w:val="20"/>
          <w:szCs w:val="20"/>
        </w:rPr>
        <w:t>,2007</w:t>
      </w:r>
      <w:proofErr w:type="gramEnd"/>
      <w:r w:rsidRPr="003C5ADD">
        <w:rPr>
          <w:rFonts w:cs="Times New Roman"/>
          <w:i/>
          <w:iCs/>
          <w:spacing w:val="-2"/>
          <w:sz w:val="20"/>
          <w:szCs w:val="20"/>
        </w:rPr>
        <w:t>)</w:t>
      </w:r>
    </w:p>
    <w:p w:rsidR="000441B9" w:rsidRPr="00274D4C" w:rsidRDefault="009E2FDB" w:rsidP="00FC40EB">
      <w:pPr>
        <w:spacing w:after="120" w:line="276" w:lineRule="auto"/>
        <w:ind w:firstLine="720"/>
        <w:jc w:val="both"/>
        <w:rPr>
          <w:rFonts w:cs="Times New Roman"/>
          <w:sz w:val="22"/>
          <w:szCs w:val="22"/>
        </w:rPr>
      </w:pPr>
      <w:r w:rsidRPr="00274D4C">
        <w:rPr>
          <w:rFonts w:cs="Times New Roman"/>
          <w:sz w:val="22"/>
          <w:szCs w:val="22"/>
        </w:rPr>
        <w:t xml:space="preserve">*“Settlement price” means Daily settlement price, Final Settlement Price </w:t>
      </w:r>
      <w:r w:rsidR="00136A25" w:rsidRPr="00274D4C">
        <w:rPr>
          <w:rFonts w:cs="Times New Roman"/>
          <w:sz w:val="22"/>
          <w:szCs w:val="22"/>
        </w:rPr>
        <w:t>o</w:t>
      </w:r>
      <w:r w:rsidRPr="00274D4C">
        <w:rPr>
          <w:rFonts w:cs="Times New Roman"/>
          <w:sz w:val="22"/>
          <w:szCs w:val="22"/>
        </w:rPr>
        <w:t>r Delivery Price.</w:t>
      </w:r>
    </w:p>
    <w:p w:rsidR="00FC40EB" w:rsidRPr="00274D4C" w:rsidRDefault="009E2FDB" w:rsidP="00E45332">
      <w:pPr>
        <w:spacing w:after="120" w:line="276" w:lineRule="auto"/>
        <w:ind w:firstLine="720"/>
        <w:jc w:val="both"/>
        <w:rPr>
          <w:rFonts w:cs="Times New Roman"/>
          <w:sz w:val="22"/>
          <w:szCs w:val="22"/>
        </w:rPr>
      </w:pPr>
      <w:r w:rsidRPr="00274D4C">
        <w:rPr>
          <w:rFonts w:cs="Times New Roman"/>
          <w:i/>
          <w:iCs/>
          <w:spacing w:val="-2"/>
          <w:sz w:val="20"/>
          <w:szCs w:val="20"/>
        </w:rPr>
        <w:t>(*Amended August 23, 2017, force September 4</w:t>
      </w:r>
      <w:proofErr w:type="gramStart"/>
      <w:r w:rsidRPr="00274D4C">
        <w:rPr>
          <w:rFonts w:cs="Times New Roman"/>
          <w:i/>
          <w:iCs/>
          <w:spacing w:val="-2"/>
          <w:sz w:val="20"/>
          <w:szCs w:val="20"/>
        </w:rPr>
        <w:t>,20</w:t>
      </w:r>
      <w:proofErr w:type="gramEnd"/>
      <w:r w:rsidRPr="00274D4C">
        <w:rPr>
          <w:rFonts w:cs="Times New Roman"/>
          <w:i/>
          <w:iCs/>
          <w:spacing w:val="-2"/>
          <w:sz w:val="20"/>
          <w:szCs w:val="20"/>
        </w:rPr>
        <w:t>17)</w:t>
      </w:r>
    </w:p>
    <w:p w:rsidR="00000000" w:rsidRPr="00274D4C" w:rsidRDefault="009E2FDB">
      <w:pPr>
        <w:spacing w:before="120"/>
        <w:ind w:firstLine="709"/>
        <w:jc w:val="thaiDistribute"/>
        <w:rPr>
          <w:rFonts w:cs="Times New Roman"/>
          <w:sz w:val="22"/>
          <w:szCs w:val="22"/>
        </w:rPr>
      </w:pPr>
      <w:r w:rsidRPr="00274D4C">
        <w:rPr>
          <w:rFonts w:cs="Times New Roman"/>
          <w:sz w:val="22"/>
          <w:szCs w:val="22"/>
        </w:rPr>
        <w:t xml:space="preserve">*“Compensation for Postponement of Delivery” means the compensation for the </w:t>
      </w:r>
      <w:r w:rsidRPr="00274D4C">
        <w:rPr>
          <w:rFonts w:cs="Times New Roman"/>
          <w:spacing w:val="4"/>
          <w:sz w:val="22"/>
          <w:szCs w:val="22"/>
        </w:rPr>
        <w:t>postponement of d</w:t>
      </w:r>
      <w:r w:rsidR="00E32DD2" w:rsidRPr="00274D4C">
        <w:rPr>
          <w:rFonts w:cs="Times New Roman"/>
          <w:spacing w:val="4"/>
          <w:sz w:val="22"/>
          <w:szCs w:val="22"/>
        </w:rPr>
        <w:t>e</w:t>
      </w:r>
      <w:r w:rsidRPr="00274D4C">
        <w:rPr>
          <w:rFonts w:cs="Times New Roman"/>
          <w:spacing w:val="4"/>
          <w:sz w:val="22"/>
          <w:szCs w:val="22"/>
        </w:rPr>
        <w:t xml:space="preserve">livery in an event of imbalance in the notification of intention to deliver </w:t>
      </w:r>
      <w:r w:rsidRPr="00274D4C">
        <w:rPr>
          <w:rFonts w:cs="Times New Roman"/>
          <w:sz w:val="22"/>
          <w:szCs w:val="22"/>
        </w:rPr>
        <w:t xml:space="preserve"> </w:t>
      </w:r>
      <w:r w:rsidR="00DE0F01" w:rsidRPr="00274D4C">
        <w:rPr>
          <w:rFonts w:cs="Times New Roman"/>
          <w:sz w:val="22"/>
          <w:szCs w:val="22"/>
        </w:rPr>
        <w:t xml:space="preserve">of </w:t>
      </w:r>
      <w:r w:rsidR="00644054" w:rsidRPr="00274D4C">
        <w:rPr>
          <w:rFonts w:cs="Times New Roman"/>
          <w:sz w:val="22"/>
          <w:szCs w:val="22"/>
        </w:rPr>
        <w:t>commodity</w:t>
      </w:r>
      <w:r w:rsidRPr="00274D4C">
        <w:rPr>
          <w:rFonts w:cs="Times New Roman"/>
          <w:sz w:val="22"/>
          <w:szCs w:val="22"/>
        </w:rPr>
        <w:t xml:space="preserve">.  </w:t>
      </w:r>
    </w:p>
    <w:p w:rsidR="00000000" w:rsidRDefault="009E2FDB">
      <w:pPr>
        <w:spacing w:before="120" w:after="120"/>
        <w:ind w:firstLine="709"/>
        <w:jc w:val="thaiDistribute"/>
        <w:rPr>
          <w:rFonts w:cs="Times New Roman"/>
          <w:sz w:val="22"/>
          <w:szCs w:val="22"/>
        </w:rPr>
      </w:pPr>
      <w:r w:rsidRPr="00274D4C">
        <w:rPr>
          <w:rFonts w:cs="Times New Roman"/>
          <w:spacing w:val="4"/>
          <w:sz w:val="22"/>
          <w:szCs w:val="22"/>
        </w:rPr>
        <w:t>*</w:t>
      </w:r>
      <w:r w:rsidRPr="00274D4C">
        <w:rPr>
          <w:rFonts w:cs="Times New Roman" w:hint="eastAsia"/>
          <w:spacing w:val="4"/>
          <w:sz w:val="22"/>
          <w:szCs w:val="22"/>
        </w:rPr>
        <w:t>“</w:t>
      </w:r>
      <w:r w:rsidRPr="00274D4C">
        <w:rPr>
          <w:rFonts w:cs="Times New Roman"/>
          <w:spacing w:val="4"/>
          <w:sz w:val="22"/>
          <w:szCs w:val="22"/>
        </w:rPr>
        <w:t>Delivery Equalizer”</w:t>
      </w:r>
      <w:r w:rsidRPr="00274D4C">
        <w:rPr>
          <w:spacing w:val="4"/>
          <w:sz w:val="22"/>
          <w:szCs w:val="22"/>
          <w:cs/>
        </w:rPr>
        <w:t xml:space="preserve"> </w:t>
      </w:r>
      <w:r w:rsidRPr="00274D4C">
        <w:rPr>
          <w:rFonts w:cs="Times New Roman"/>
          <w:spacing w:val="4"/>
          <w:sz w:val="22"/>
          <w:szCs w:val="22"/>
        </w:rPr>
        <w:t>means a person registered by TFEX to trade futures contracts with</w:t>
      </w:r>
      <w:r w:rsidRPr="00274D4C">
        <w:rPr>
          <w:rFonts w:cs="Times New Roman"/>
          <w:sz w:val="22"/>
          <w:szCs w:val="22"/>
        </w:rPr>
        <w:t xml:space="preserve"> the objective of equalizing the </w:t>
      </w:r>
      <w:r w:rsidR="00DE0F01" w:rsidRPr="00274D4C">
        <w:rPr>
          <w:rFonts w:cs="Times New Roman"/>
          <w:sz w:val="22"/>
          <w:szCs w:val="22"/>
        </w:rPr>
        <w:t>D</w:t>
      </w:r>
      <w:r w:rsidRPr="00274D4C">
        <w:rPr>
          <w:rFonts w:cs="Times New Roman"/>
          <w:sz w:val="22"/>
          <w:szCs w:val="22"/>
        </w:rPr>
        <w:t>elivery</w:t>
      </w:r>
      <w:r w:rsidR="00644054">
        <w:rPr>
          <w:rFonts w:cs="Times New Roman"/>
          <w:sz w:val="22"/>
          <w:szCs w:val="22"/>
        </w:rPr>
        <w:t xml:space="preserve"> of commodity</w:t>
      </w:r>
      <w:r w:rsidR="00933F67" w:rsidRPr="00933F67">
        <w:rPr>
          <w:rFonts w:cs="Times New Roman"/>
          <w:sz w:val="22"/>
          <w:szCs w:val="22"/>
        </w:rPr>
        <w:t>.</w:t>
      </w:r>
    </w:p>
    <w:p w:rsidR="00E32DD2" w:rsidRDefault="0096617D">
      <w:pPr>
        <w:spacing w:after="120"/>
        <w:ind w:firstLine="720"/>
        <w:jc w:val="both"/>
        <w:rPr>
          <w:rFonts w:cs="Times New Roman"/>
          <w:sz w:val="22"/>
          <w:szCs w:val="22"/>
        </w:rPr>
      </w:pPr>
      <w:r w:rsidRPr="00274D4C">
        <w:rPr>
          <w:rFonts w:cs="Times New Roman"/>
          <w:i/>
          <w:iCs/>
          <w:spacing w:val="-2"/>
          <w:sz w:val="20"/>
          <w:szCs w:val="20"/>
        </w:rPr>
        <w:t>(*Amended August 23, 2017, force September 4</w:t>
      </w:r>
      <w:proofErr w:type="gramStart"/>
      <w:r w:rsidRPr="00274D4C">
        <w:rPr>
          <w:rFonts w:cs="Times New Roman"/>
          <w:i/>
          <w:iCs/>
          <w:spacing w:val="-2"/>
          <w:sz w:val="20"/>
          <w:szCs w:val="20"/>
        </w:rPr>
        <w:t>,2017</w:t>
      </w:r>
      <w:proofErr w:type="gramEnd"/>
      <w:r w:rsidRPr="00274D4C">
        <w:rPr>
          <w:rFonts w:cs="Times New Roman"/>
          <w:i/>
          <w:iCs/>
          <w:spacing w:val="-2"/>
          <w:sz w:val="20"/>
          <w:szCs w:val="20"/>
        </w:rPr>
        <w:t>)</w:t>
      </w:r>
    </w:p>
    <w:p w:rsidR="000441B9" w:rsidRDefault="003C5ADD" w:rsidP="00FC40EB">
      <w:pPr>
        <w:spacing w:after="120" w:line="276" w:lineRule="auto"/>
        <w:ind w:firstLine="720"/>
        <w:jc w:val="both"/>
        <w:rPr>
          <w:rFonts w:cs="Times New Roman"/>
          <w:b/>
          <w:bCs/>
          <w:sz w:val="22"/>
          <w:szCs w:val="22"/>
        </w:rPr>
      </w:pPr>
      <w:r w:rsidRPr="003C5ADD">
        <w:rPr>
          <w:rFonts w:cs="Times New Roman"/>
          <w:sz w:val="22"/>
          <w:szCs w:val="22"/>
        </w:rPr>
        <w:t>*“At-the-money” means options which its strike price of the options is equal to the settlement price or the price or level of underlying at any time.</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865B08">
        <w:rPr>
          <w:rFonts w:cs="Times New Roman"/>
          <w:i/>
          <w:iCs/>
          <w:spacing w:val="-2"/>
          <w:sz w:val="20"/>
          <w:szCs w:val="20"/>
        </w:rPr>
        <w:t>, force July 16</w:t>
      </w:r>
      <w:proofErr w:type="gramStart"/>
      <w:r w:rsidR="00865B08">
        <w:rPr>
          <w:rFonts w:cs="Times New Roman"/>
          <w:i/>
          <w:iCs/>
          <w:spacing w:val="-2"/>
          <w:sz w:val="20"/>
          <w:szCs w:val="20"/>
        </w:rPr>
        <w:t>,2007</w:t>
      </w:r>
      <w:proofErr w:type="gramEnd"/>
      <w:r w:rsidRPr="003C5ADD">
        <w:rPr>
          <w:rFonts w:cs="Times New Roman"/>
          <w:i/>
          <w:iCs/>
          <w:spacing w:val="-2"/>
          <w:sz w:val="20"/>
          <w:szCs w:val="20"/>
        </w:rPr>
        <w:t>)</w:t>
      </w:r>
    </w:p>
    <w:p w:rsidR="000441B9" w:rsidRDefault="003C5ADD" w:rsidP="00FC40EB">
      <w:pPr>
        <w:spacing w:after="120" w:line="276" w:lineRule="auto"/>
        <w:ind w:firstLine="720"/>
        <w:rPr>
          <w:rFonts w:cs="Times New Roman"/>
          <w:sz w:val="22"/>
          <w:szCs w:val="22"/>
        </w:rPr>
      </w:pPr>
      <w:r w:rsidRPr="003C5ADD">
        <w:rPr>
          <w:rFonts w:cs="Times New Roman"/>
          <w:sz w:val="22"/>
          <w:szCs w:val="22"/>
        </w:rPr>
        <w:t>* “In-the-money” means options which have characteristics as follows;</w:t>
      </w:r>
    </w:p>
    <w:p w:rsidR="000441B9" w:rsidRDefault="003C5ADD" w:rsidP="00FC40EB">
      <w:pPr>
        <w:spacing w:after="120" w:line="276" w:lineRule="auto"/>
        <w:ind w:firstLine="1440"/>
        <w:rPr>
          <w:rFonts w:cs="Times New Roman"/>
          <w:spacing w:val="4"/>
          <w:sz w:val="22"/>
          <w:szCs w:val="22"/>
        </w:rPr>
      </w:pPr>
      <w:r w:rsidRPr="003C5ADD">
        <w:rPr>
          <w:rFonts w:cs="Times New Roman"/>
          <w:sz w:val="22"/>
          <w:szCs w:val="22"/>
        </w:rPr>
        <w:t>(1)</w:t>
      </w:r>
      <w:r w:rsidRPr="003C5ADD">
        <w:rPr>
          <w:rFonts w:cs="Times New Roman"/>
          <w:sz w:val="22"/>
          <w:szCs w:val="22"/>
        </w:rPr>
        <w:tab/>
        <w:t xml:space="preserve">Call options of which the underlying is below the settlement price or </w:t>
      </w:r>
      <w:r w:rsidRPr="003C5ADD">
        <w:rPr>
          <w:rFonts w:cs="Times New Roman"/>
          <w:spacing w:val="4"/>
          <w:sz w:val="22"/>
          <w:szCs w:val="22"/>
        </w:rPr>
        <w:t>the price or level of underlying at any time.</w:t>
      </w:r>
    </w:p>
    <w:p w:rsidR="000441B9" w:rsidRDefault="003C5ADD" w:rsidP="00FC40EB">
      <w:pPr>
        <w:spacing w:after="120" w:line="276" w:lineRule="auto"/>
        <w:ind w:firstLine="1440"/>
        <w:rPr>
          <w:rFonts w:cs="Times New Roman"/>
          <w:spacing w:val="4"/>
          <w:sz w:val="22"/>
          <w:szCs w:val="22"/>
        </w:rPr>
      </w:pPr>
      <w:r w:rsidRPr="003C5ADD">
        <w:rPr>
          <w:rFonts w:cs="Times New Roman"/>
          <w:spacing w:val="2"/>
          <w:sz w:val="22"/>
          <w:szCs w:val="22"/>
        </w:rPr>
        <w:t>(2)</w:t>
      </w:r>
      <w:r w:rsidRPr="003C5ADD">
        <w:rPr>
          <w:rFonts w:cs="Times New Roman"/>
          <w:spacing w:val="2"/>
          <w:sz w:val="22"/>
          <w:szCs w:val="22"/>
        </w:rPr>
        <w:tab/>
        <w:t>Put Options of which</w:t>
      </w:r>
      <w:r w:rsidRPr="003C5ADD">
        <w:rPr>
          <w:rFonts w:cs="Times New Roman"/>
          <w:sz w:val="22"/>
          <w:szCs w:val="22"/>
        </w:rPr>
        <w:t xml:space="preserve"> the underlying is above the settlement price or </w:t>
      </w:r>
      <w:r w:rsidRPr="003C5ADD">
        <w:rPr>
          <w:rFonts w:cs="Times New Roman"/>
          <w:spacing w:val="4"/>
          <w:sz w:val="22"/>
          <w:szCs w:val="22"/>
        </w:rPr>
        <w:t>the price or level of underlying at any time.</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865B08">
        <w:rPr>
          <w:rFonts w:cs="Times New Roman"/>
          <w:i/>
          <w:iCs/>
          <w:spacing w:val="-2"/>
          <w:sz w:val="20"/>
          <w:szCs w:val="20"/>
        </w:rPr>
        <w:t>, force July 16</w:t>
      </w:r>
      <w:proofErr w:type="gramStart"/>
      <w:r w:rsidR="00865B08">
        <w:rPr>
          <w:rFonts w:cs="Times New Roman"/>
          <w:i/>
          <w:iCs/>
          <w:spacing w:val="-2"/>
          <w:sz w:val="20"/>
          <w:szCs w:val="20"/>
        </w:rPr>
        <w:t>,2007</w:t>
      </w:r>
      <w:proofErr w:type="gramEnd"/>
      <w:r w:rsidRPr="003C5ADD">
        <w:rPr>
          <w:rFonts w:cs="Times New Roman"/>
          <w:i/>
          <w:iCs/>
          <w:spacing w:val="-2"/>
          <w:sz w:val="20"/>
          <w:szCs w:val="20"/>
        </w:rPr>
        <w:t>)</w:t>
      </w:r>
    </w:p>
    <w:p w:rsidR="000441B9" w:rsidRDefault="003C5ADD" w:rsidP="00FC40EB">
      <w:pPr>
        <w:spacing w:after="120" w:line="276" w:lineRule="auto"/>
        <w:rPr>
          <w:rFonts w:cs="Times New Roman"/>
          <w:sz w:val="22"/>
          <w:szCs w:val="22"/>
        </w:rPr>
      </w:pPr>
      <w:r w:rsidRPr="003C5ADD">
        <w:rPr>
          <w:rFonts w:cs="Times New Roman"/>
          <w:sz w:val="22"/>
          <w:szCs w:val="22"/>
          <w:cs/>
        </w:rPr>
        <w:tab/>
      </w:r>
      <w:r w:rsidRPr="003C5ADD">
        <w:rPr>
          <w:rFonts w:cs="Times New Roman"/>
          <w:sz w:val="22"/>
          <w:szCs w:val="22"/>
        </w:rPr>
        <w:t>*“Out-of-the-money” means options which have characteristics as follows;</w:t>
      </w:r>
    </w:p>
    <w:p w:rsidR="000441B9" w:rsidRDefault="003C5ADD" w:rsidP="00FC40EB">
      <w:pPr>
        <w:spacing w:after="120" w:line="276" w:lineRule="auto"/>
        <w:ind w:firstLine="1440"/>
        <w:rPr>
          <w:rFonts w:cs="Times New Roman"/>
          <w:spacing w:val="4"/>
          <w:sz w:val="22"/>
          <w:szCs w:val="22"/>
        </w:rPr>
      </w:pPr>
      <w:r w:rsidRPr="003C5ADD">
        <w:rPr>
          <w:rFonts w:cs="Times New Roman"/>
          <w:sz w:val="22"/>
          <w:szCs w:val="22"/>
        </w:rPr>
        <w:t>(1)</w:t>
      </w:r>
      <w:r w:rsidRPr="003C5ADD">
        <w:rPr>
          <w:rFonts w:cs="Times New Roman"/>
          <w:sz w:val="22"/>
          <w:szCs w:val="22"/>
        </w:rPr>
        <w:tab/>
        <w:t xml:space="preserve">Call options of which the underlying is above the settlement price or </w:t>
      </w:r>
      <w:r w:rsidRPr="003C5ADD">
        <w:rPr>
          <w:rFonts w:cs="Times New Roman"/>
          <w:spacing w:val="4"/>
          <w:sz w:val="22"/>
          <w:szCs w:val="22"/>
        </w:rPr>
        <w:t>the price or level of underlying at any time.</w:t>
      </w:r>
    </w:p>
    <w:p w:rsidR="000441B9" w:rsidRDefault="003C5ADD" w:rsidP="00FC40EB">
      <w:pPr>
        <w:spacing w:after="120" w:line="276" w:lineRule="auto"/>
        <w:ind w:firstLine="1440"/>
        <w:rPr>
          <w:rFonts w:cs="Times New Roman"/>
          <w:spacing w:val="-2"/>
          <w:sz w:val="22"/>
          <w:szCs w:val="22"/>
        </w:rPr>
      </w:pPr>
      <w:r w:rsidRPr="003C5ADD">
        <w:rPr>
          <w:rFonts w:cs="Times New Roman"/>
          <w:spacing w:val="2"/>
          <w:sz w:val="22"/>
          <w:szCs w:val="22"/>
        </w:rPr>
        <w:t>(2)</w:t>
      </w:r>
      <w:r w:rsidRPr="003C5ADD">
        <w:rPr>
          <w:rFonts w:cs="Times New Roman"/>
          <w:spacing w:val="2"/>
          <w:sz w:val="22"/>
          <w:szCs w:val="22"/>
        </w:rPr>
        <w:tab/>
        <w:t>Put options of which</w:t>
      </w:r>
      <w:r w:rsidRPr="003C5ADD">
        <w:rPr>
          <w:rFonts w:cs="Times New Roman"/>
          <w:sz w:val="22"/>
          <w:szCs w:val="22"/>
        </w:rPr>
        <w:t xml:space="preserve"> the underlying </w:t>
      </w:r>
      <w:proofErr w:type="gramStart"/>
      <w:r w:rsidRPr="003C5ADD">
        <w:rPr>
          <w:rFonts w:cs="Times New Roman"/>
          <w:sz w:val="22"/>
          <w:szCs w:val="22"/>
        </w:rPr>
        <w:t>are</w:t>
      </w:r>
      <w:proofErr w:type="gramEnd"/>
      <w:r w:rsidRPr="003C5ADD">
        <w:rPr>
          <w:rFonts w:cs="Times New Roman"/>
          <w:sz w:val="22"/>
          <w:szCs w:val="22"/>
        </w:rPr>
        <w:t xml:space="preserve"> below the settlement price or </w:t>
      </w:r>
      <w:r w:rsidRPr="003C5ADD">
        <w:rPr>
          <w:rFonts w:cs="Times New Roman"/>
          <w:spacing w:val="4"/>
          <w:sz w:val="22"/>
          <w:szCs w:val="22"/>
        </w:rPr>
        <w:t>the price or level of underlying at any time.</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865B08">
        <w:rPr>
          <w:rFonts w:cs="Times New Roman"/>
          <w:i/>
          <w:iCs/>
          <w:spacing w:val="-2"/>
          <w:sz w:val="20"/>
          <w:szCs w:val="20"/>
        </w:rPr>
        <w:t>, force July 16</w:t>
      </w:r>
      <w:proofErr w:type="gramStart"/>
      <w:r w:rsidR="00865B08">
        <w:rPr>
          <w:rFonts w:cs="Times New Roman"/>
          <w:i/>
          <w:iCs/>
          <w:spacing w:val="-2"/>
          <w:sz w:val="20"/>
          <w:szCs w:val="20"/>
        </w:rPr>
        <w:t>,2007</w:t>
      </w:r>
      <w:proofErr w:type="gramEnd"/>
      <w:r w:rsidRPr="003C5ADD">
        <w:rPr>
          <w:rFonts w:cs="Times New Roman"/>
          <w:i/>
          <w:iCs/>
          <w:spacing w:val="-2"/>
          <w:sz w:val="20"/>
          <w:szCs w:val="20"/>
        </w:rPr>
        <w:t>)</w:t>
      </w:r>
    </w:p>
    <w:p w:rsidR="000441B9" w:rsidRDefault="003C5ADD" w:rsidP="00FC40EB">
      <w:pPr>
        <w:spacing w:after="120" w:line="276" w:lineRule="auto"/>
        <w:ind w:firstLine="720"/>
        <w:jc w:val="thaiDistribute"/>
        <w:rPr>
          <w:rFonts w:cs="Times New Roman"/>
          <w:spacing w:val="-2"/>
          <w:sz w:val="22"/>
          <w:szCs w:val="22"/>
        </w:rPr>
      </w:pPr>
      <w:r w:rsidRPr="003C5ADD">
        <w:rPr>
          <w:rFonts w:cs="Times New Roman"/>
          <w:spacing w:val="-2"/>
          <w:sz w:val="22"/>
          <w:szCs w:val="22"/>
        </w:rPr>
        <w:t>*“Options Series”</w:t>
      </w:r>
      <w:r w:rsidRPr="003C5ADD">
        <w:rPr>
          <w:rFonts w:cs="Times New Roman"/>
          <w:spacing w:val="-2"/>
          <w:sz w:val="22"/>
          <w:szCs w:val="22"/>
          <w:cs/>
        </w:rPr>
        <w:t xml:space="preserve"> </w:t>
      </w:r>
      <w:r w:rsidRPr="003C5ADD">
        <w:rPr>
          <w:rFonts w:cs="Times New Roman"/>
          <w:spacing w:val="-2"/>
          <w:sz w:val="22"/>
          <w:szCs w:val="22"/>
        </w:rPr>
        <w:t>means</w:t>
      </w:r>
      <w:r w:rsidRPr="003C5ADD">
        <w:rPr>
          <w:rFonts w:cs="Times New Roman"/>
          <w:spacing w:val="-2"/>
          <w:sz w:val="22"/>
          <w:szCs w:val="22"/>
          <w:cs/>
        </w:rPr>
        <w:t xml:space="preserve"> </w:t>
      </w:r>
      <w:r w:rsidRPr="003C5ADD">
        <w:rPr>
          <w:rFonts w:cs="Times New Roman"/>
          <w:spacing w:val="-2"/>
          <w:sz w:val="22"/>
          <w:szCs w:val="22"/>
        </w:rPr>
        <w:t>options of the same underlying, opti</w:t>
      </w:r>
      <w:r w:rsidR="00FC40EB">
        <w:rPr>
          <w:rFonts w:cs="Times New Roman"/>
          <w:spacing w:val="-2"/>
          <w:sz w:val="22"/>
          <w:szCs w:val="22"/>
        </w:rPr>
        <w:t xml:space="preserve">ons type, settlement month and </w:t>
      </w:r>
      <w:r w:rsidRPr="003C5ADD">
        <w:rPr>
          <w:rFonts w:cs="Times New Roman"/>
          <w:spacing w:val="-2"/>
          <w:sz w:val="22"/>
          <w:szCs w:val="22"/>
        </w:rPr>
        <w:t>strike price.</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proofErr w:type="gramStart"/>
      <w:r w:rsidR="00865B08">
        <w:rPr>
          <w:rFonts w:cs="Times New Roman"/>
          <w:i/>
          <w:iCs/>
          <w:spacing w:val="-2"/>
          <w:sz w:val="20"/>
          <w:szCs w:val="20"/>
        </w:rPr>
        <w:t>,</w:t>
      </w:r>
      <w:r w:rsidR="00865B08" w:rsidRPr="00865B08">
        <w:rPr>
          <w:rFonts w:cs="Times New Roman"/>
          <w:i/>
          <w:iCs/>
          <w:spacing w:val="-2"/>
          <w:sz w:val="20"/>
          <w:szCs w:val="20"/>
        </w:rPr>
        <w:t xml:space="preserve"> </w:t>
      </w:r>
      <w:r w:rsidR="00865B08">
        <w:rPr>
          <w:rFonts w:cs="Times New Roman"/>
          <w:i/>
          <w:iCs/>
          <w:spacing w:val="-2"/>
          <w:sz w:val="20"/>
          <w:szCs w:val="20"/>
        </w:rPr>
        <w:t xml:space="preserve"> force</w:t>
      </w:r>
      <w:proofErr w:type="gramEnd"/>
      <w:r w:rsidR="00865B08">
        <w:rPr>
          <w:rFonts w:cs="Times New Roman"/>
          <w:i/>
          <w:iCs/>
          <w:spacing w:val="-2"/>
          <w:sz w:val="20"/>
          <w:szCs w:val="20"/>
        </w:rPr>
        <w:t xml:space="preserve"> July 16,2007</w:t>
      </w:r>
      <w:r w:rsidRPr="003C5ADD">
        <w:rPr>
          <w:rFonts w:cs="Times New Roman"/>
          <w:i/>
          <w:iCs/>
          <w:spacing w:val="-2"/>
          <w:sz w:val="20"/>
          <w:szCs w:val="20"/>
        </w:rPr>
        <w:t>)</w:t>
      </w:r>
    </w:p>
    <w:p w:rsidR="000441B9" w:rsidRDefault="003C5ADD" w:rsidP="00FC40EB">
      <w:pPr>
        <w:spacing w:after="120" w:line="276" w:lineRule="auto"/>
        <w:ind w:firstLine="720"/>
        <w:jc w:val="thaiDistribute"/>
        <w:rPr>
          <w:rFonts w:cs="Times New Roman"/>
          <w:spacing w:val="-2"/>
          <w:sz w:val="22"/>
          <w:szCs w:val="22"/>
        </w:rPr>
      </w:pPr>
      <w:r w:rsidRPr="003C5ADD">
        <w:rPr>
          <w:rFonts w:cs="Times New Roman"/>
          <w:spacing w:val="-2"/>
          <w:sz w:val="22"/>
          <w:szCs w:val="22"/>
        </w:rPr>
        <w:t>*“Open Interest” means position in derivatives contracts that have not yet been exercise, expired, or fulfilled by delivery or payment.</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July 2, 2007</w:t>
      </w:r>
      <w:r w:rsidR="00865B08">
        <w:rPr>
          <w:rFonts w:cs="Times New Roman"/>
          <w:i/>
          <w:iCs/>
          <w:spacing w:val="-2"/>
          <w:sz w:val="20"/>
          <w:szCs w:val="20"/>
        </w:rPr>
        <w:t>, force July 16</w:t>
      </w:r>
      <w:proofErr w:type="gramStart"/>
      <w:r w:rsidR="00865B08">
        <w:rPr>
          <w:rFonts w:cs="Times New Roman"/>
          <w:i/>
          <w:iCs/>
          <w:spacing w:val="-2"/>
          <w:sz w:val="20"/>
          <w:szCs w:val="20"/>
        </w:rPr>
        <w:t>,2007</w:t>
      </w:r>
      <w:proofErr w:type="gramEnd"/>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“Contract Specification” means the form and substance of the derivatives contracts which prescribe details of the derivatives listed by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“Underlying” means the commodity or variable underlying the trading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lastRenderedPageBreak/>
        <w:tab/>
        <w:t>“Multiplier” means the value used for multiplying the underlying index for the purpose of determining the value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t xml:space="preserve">“Minimum tick size” means the minimum difference of the price levels in each bid and </w:t>
      </w:r>
      <w:proofErr w:type="gramStart"/>
      <w:r w:rsidRPr="003C5ADD">
        <w:rPr>
          <w:rFonts w:cs="Times New Roman"/>
          <w:sz w:val="22"/>
          <w:szCs w:val="22"/>
        </w:rPr>
        <w:t>ask</w:t>
      </w:r>
      <w:proofErr w:type="gramEnd"/>
      <w:r w:rsidRPr="003C5ADD">
        <w:rPr>
          <w:rFonts w:cs="Times New Roman"/>
          <w:sz w:val="22"/>
          <w:szCs w:val="22"/>
        </w:rPr>
        <w:t xml:space="preserve"> of exchange trade derivatives.</w:t>
      </w:r>
    </w:p>
    <w:p w:rsidR="000441B9" w:rsidRDefault="003C5ADD" w:rsidP="00FC40EB">
      <w:pPr>
        <w:spacing w:after="120" w:line="276" w:lineRule="auto"/>
        <w:jc w:val="both"/>
        <w:rPr>
          <w:rFonts w:cs="Times New Roman"/>
          <w:sz w:val="22"/>
          <w:szCs w:val="22"/>
        </w:rPr>
      </w:pPr>
      <w:r w:rsidRPr="003C5ADD">
        <w:rPr>
          <w:rFonts w:cs="Times New Roman"/>
          <w:sz w:val="22"/>
          <w:szCs w:val="22"/>
        </w:rPr>
        <w:tab/>
        <w:t>“Daily price limit” means the range of the bid and ask price each day which can fluctuate to the lowest or the greatest price, as prescribed by TFEX.</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t>*“Listed securities” means securities listed or authorized for trading on the SET.</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November 14, 2008</w:t>
      </w:r>
      <w:r w:rsidR="00865B08">
        <w:rPr>
          <w:rFonts w:cs="Times New Roman"/>
          <w:i/>
          <w:iCs/>
          <w:spacing w:val="-2"/>
          <w:sz w:val="20"/>
          <w:szCs w:val="20"/>
        </w:rPr>
        <w:t xml:space="preserve">, force </w:t>
      </w:r>
      <w:r w:rsidR="00407775">
        <w:rPr>
          <w:rFonts w:cs="Times New Roman"/>
          <w:i/>
          <w:iCs/>
          <w:spacing w:val="-2"/>
          <w:sz w:val="20"/>
          <w:szCs w:val="20"/>
        </w:rPr>
        <w:t>November</w:t>
      </w:r>
      <w:r w:rsidR="00865B08">
        <w:rPr>
          <w:rFonts w:cs="Times New Roman"/>
          <w:i/>
          <w:iCs/>
          <w:spacing w:val="-2"/>
          <w:sz w:val="20"/>
          <w:szCs w:val="20"/>
        </w:rPr>
        <w:t xml:space="preserve"> </w:t>
      </w:r>
      <w:r w:rsidR="00407775">
        <w:rPr>
          <w:rFonts w:cs="Times New Roman"/>
          <w:i/>
          <w:iCs/>
          <w:spacing w:val="-2"/>
          <w:sz w:val="20"/>
          <w:szCs w:val="20"/>
        </w:rPr>
        <w:t>24</w:t>
      </w:r>
      <w:r w:rsidR="00865B08">
        <w:rPr>
          <w:rFonts w:cs="Times New Roman"/>
          <w:i/>
          <w:iCs/>
          <w:spacing w:val="-2"/>
          <w:sz w:val="20"/>
          <w:szCs w:val="20"/>
        </w:rPr>
        <w:t>,</w:t>
      </w:r>
      <w:r w:rsidR="00407775">
        <w:rPr>
          <w:rFonts w:cs="Times New Roman"/>
          <w:i/>
          <w:iCs/>
          <w:spacing w:val="-2"/>
          <w:sz w:val="20"/>
          <w:szCs w:val="20"/>
        </w:rPr>
        <w:t xml:space="preserve"> </w:t>
      </w:r>
      <w:r w:rsidR="00865B08">
        <w:rPr>
          <w:rFonts w:cs="Times New Roman"/>
          <w:i/>
          <w:iCs/>
          <w:spacing w:val="-2"/>
          <w:sz w:val="20"/>
          <w:szCs w:val="20"/>
        </w:rPr>
        <w:t>200</w:t>
      </w:r>
      <w:r w:rsidR="00407775">
        <w:rPr>
          <w:rFonts w:cs="Times New Roman"/>
          <w:i/>
          <w:iCs/>
          <w:spacing w:val="-2"/>
          <w:sz w:val="20"/>
          <w:szCs w:val="20"/>
        </w:rPr>
        <w:t>8</w:t>
      </w:r>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*“Corporate action” means any action taken by a listed company issuing underlying common stocks which affects its common stocks, or the return of, or compensation for, the rights and interests arising from common stocks, such as a change in par value, change in capital, merger, payment of dividends in the forms of cash or securities, or any other similar action.</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November 14, 2008</w:t>
      </w:r>
      <w:r w:rsidR="00407775">
        <w:rPr>
          <w:rFonts w:cs="Times New Roman"/>
          <w:i/>
          <w:iCs/>
          <w:spacing w:val="-2"/>
          <w:sz w:val="20"/>
          <w:szCs w:val="20"/>
        </w:rPr>
        <w:t>, force November 24, 2008</w:t>
      </w:r>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“Trading system” means a computer system provided by TFEX for use in the trading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t>“Trading unit” means the volume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t>“Trading order” means an order to buy or an order to sell derivatives contracts on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 xml:space="preserve">“Order” means a bid to buy or </w:t>
      </w:r>
      <w:proofErr w:type="gramStart"/>
      <w:r w:rsidRPr="003C5ADD">
        <w:rPr>
          <w:rFonts w:cs="Times New Roman"/>
          <w:sz w:val="22"/>
          <w:szCs w:val="22"/>
        </w:rPr>
        <w:t>an ask</w:t>
      </w:r>
      <w:proofErr w:type="gramEnd"/>
      <w:r w:rsidRPr="003C5ADD">
        <w:rPr>
          <w:rFonts w:cs="Times New Roman"/>
          <w:sz w:val="22"/>
          <w:szCs w:val="22"/>
        </w:rPr>
        <w:t xml:space="preserve"> to sell derivatives contracts on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“Trading” means the buying or selling of derivatives contracts on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“Trading transaction” means the trading of derivatives contracts on TFEX that has already taken place.</w:t>
      </w:r>
    </w:p>
    <w:p w:rsidR="000441B9" w:rsidRDefault="003C5ADD" w:rsidP="00FC40EB">
      <w:pPr>
        <w:spacing w:after="120" w:line="276" w:lineRule="auto"/>
        <w:jc w:val="both"/>
        <w:rPr>
          <w:rFonts w:cs="Times New Roman"/>
          <w:sz w:val="22"/>
          <w:szCs w:val="22"/>
        </w:rPr>
      </w:pPr>
      <w:r w:rsidRPr="003C5ADD">
        <w:rPr>
          <w:rFonts w:cs="Times New Roman"/>
          <w:sz w:val="22"/>
          <w:szCs w:val="22"/>
        </w:rPr>
        <w:tab/>
        <w:t>“Margin” means the margin in accordance with the rules and regulations of TCH.</w:t>
      </w:r>
    </w:p>
    <w:p w:rsidR="000441B9" w:rsidRDefault="003C5ADD" w:rsidP="00FC40EB">
      <w:pPr>
        <w:pStyle w:val="BodyText"/>
        <w:spacing w:after="120" w:line="276" w:lineRule="auto"/>
        <w:rPr>
          <w:rFonts w:ascii="Times New Roman" w:hAnsi="Times New Roman" w:cs="Times New Roman"/>
          <w:sz w:val="22"/>
          <w:szCs w:val="22"/>
        </w:rPr>
      </w:pPr>
      <w:r w:rsidRPr="003C5ADD">
        <w:rPr>
          <w:rFonts w:ascii="Times New Roman" w:hAnsi="Times New Roman" w:cs="Times New Roman"/>
          <w:sz w:val="22"/>
          <w:szCs w:val="22"/>
        </w:rPr>
        <w:tab/>
        <w:t xml:space="preserve">“Closing out the derivatives position” means to discharge an obligation or terminate the rights under existing derivatives contracts by way of trading in another derivatives contracts which results in an offsetting position or by any other means in accordance with the rules and regulations </w:t>
      </w:r>
      <w:proofErr w:type="gramStart"/>
      <w:r w:rsidRPr="003C5ADD">
        <w:rPr>
          <w:rFonts w:ascii="Times New Roman" w:hAnsi="Times New Roman" w:cs="Times New Roman"/>
          <w:sz w:val="22"/>
          <w:szCs w:val="22"/>
        </w:rPr>
        <w:t>of  TCH</w:t>
      </w:r>
      <w:proofErr w:type="gramEnd"/>
      <w:r w:rsidRPr="003C5ADD">
        <w:rPr>
          <w:rFonts w:ascii="Times New Roman" w:hAnsi="Times New Roman" w:cs="Times New Roman"/>
          <w:sz w:val="22"/>
          <w:szCs w:val="22"/>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“SEC” means the Securities and Exchange Commission under the laws on securities and exchange.</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t>*“Capital Market Supervisory Board” means the Capital Market Supervisory Board under the law on securities and exchange.</w:t>
      </w:r>
    </w:p>
    <w:p w:rsidR="000441B9" w:rsidRDefault="003C5ADD" w:rsidP="00FC40EB">
      <w:pPr>
        <w:spacing w:after="120" w:line="276" w:lineRule="auto"/>
        <w:ind w:firstLine="720"/>
        <w:jc w:val="both"/>
        <w:rPr>
          <w:rFonts w:cs="Times New Roman"/>
          <w:sz w:val="20"/>
          <w:szCs w:val="20"/>
        </w:rPr>
      </w:pPr>
      <w:r w:rsidRPr="00AB54D2">
        <w:rPr>
          <w:rFonts w:cs="Times New Roman"/>
          <w:i/>
          <w:iCs/>
          <w:spacing w:val="-2"/>
          <w:sz w:val="20"/>
          <w:szCs w:val="20"/>
        </w:rPr>
        <w:t>(**Amended November 26, 2008</w:t>
      </w:r>
      <w:r w:rsidR="00AB54D2" w:rsidRPr="00AB54D2">
        <w:rPr>
          <w:rFonts w:cs="Times New Roman"/>
          <w:i/>
          <w:iCs/>
          <w:spacing w:val="-2"/>
          <w:sz w:val="20"/>
          <w:szCs w:val="20"/>
        </w:rPr>
        <w:t>, force November 26, 2008</w:t>
      </w:r>
      <w:r w:rsidRPr="00AB54D2">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“Office of SEC” means the Office of the Securities and Exchange Commission under the law on securities and exchange.</w:t>
      </w:r>
    </w:p>
    <w:p w:rsidR="000441B9" w:rsidRDefault="003C5ADD" w:rsidP="00FC40EB">
      <w:pPr>
        <w:spacing w:after="120" w:line="276" w:lineRule="auto"/>
        <w:jc w:val="both"/>
        <w:rPr>
          <w:rFonts w:cs="Times New Roman"/>
          <w:sz w:val="22"/>
          <w:szCs w:val="22"/>
        </w:rPr>
      </w:pPr>
      <w:r w:rsidRPr="003C5ADD">
        <w:rPr>
          <w:rFonts w:cs="Times New Roman"/>
          <w:sz w:val="22"/>
          <w:szCs w:val="22"/>
        </w:rPr>
        <w:tab/>
        <w:t>“SET” means the Stock Exchange of Thailand.</w:t>
      </w:r>
    </w:p>
    <w:p w:rsidR="000441B9" w:rsidRDefault="003C5ADD" w:rsidP="00FC40EB">
      <w:pPr>
        <w:spacing w:after="120" w:line="276" w:lineRule="auto"/>
        <w:jc w:val="both"/>
        <w:rPr>
          <w:rFonts w:cs="Times New Roman"/>
          <w:sz w:val="22"/>
          <w:szCs w:val="22"/>
        </w:rPr>
      </w:pPr>
      <w:r w:rsidRPr="003C5ADD">
        <w:rPr>
          <w:rFonts w:cs="Times New Roman"/>
          <w:sz w:val="22"/>
          <w:szCs w:val="22"/>
        </w:rPr>
        <w:tab/>
        <w:t>“Affiliates” means the SET and the companies in which the SET holds shares in excess of fifty percent of their paid-up capital.</w:t>
      </w:r>
    </w:p>
    <w:p w:rsidR="000441B9" w:rsidRDefault="003C5ADD" w:rsidP="00FC40EB">
      <w:pPr>
        <w:spacing w:after="120" w:line="276" w:lineRule="auto"/>
        <w:jc w:val="both"/>
        <w:rPr>
          <w:rFonts w:cs="Times New Roman"/>
          <w:sz w:val="22"/>
          <w:szCs w:val="22"/>
        </w:rPr>
      </w:pPr>
      <w:r w:rsidRPr="003C5ADD">
        <w:rPr>
          <w:rFonts w:cs="Times New Roman"/>
          <w:sz w:val="22"/>
          <w:szCs w:val="22"/>
        </w:rPr>
        <w:lastRenderedPageBreak/>
        <w:tab/>
        <w:t>“TFEX” means Thailand Futures Exchange Public Company Limited.</w:t>
      </w:r>
    </w:p>
    <w:p w:rsidR="000441B9" w:rsidRDefault="003C5ADD" w:rsidP="00FC40EB">
      <w:pPr>
        <w:spacing w:after="120" w:line="276" w:lineRule="auto"/>
        <w:jc w:val="both"/>
        <w:rPr>
          <w:rFonts w:cs="Times New Roman"/>
          <w:sz w:val="22"/>
          <w:szCs w:val="22"/>
        </w:rPr>
      </w:pPr>
      <w:r w:rsidRPr="003C5ADD">
        <w:rPr>
          <w:rFonts w:cs="Times New Roman"/>
          <w:sz w:val="22"/>
          <w:szCs w:val="22"/>
        </w:rPr>
        <w:tab/>
        <w:t>“TCH” means Thailand Clearing House Company Limited.</w:t>
      </w:r>
    </w:p>
    <w:p w:rsidR="000441B9" w:rsidRDefault="003C5ADD" w:rsidP="00FC40EB">
      <w:pPr>
        <w:spacing w:after="120" w:line="276" w:lineRule="auto"/>
        <w:ind w:firstLine="720"/>
        <w:jc w:val="both"/>
        <w:rPr>
          <w:rFonts w:cs="Times New Roman"/>
          <w:sz w:val="22"/>
          <w:szCs w:val="22"/>
        </w:rPr>
      </w:pPr>
      <w:r w:rsidRPr="003C5ADD">
        <w:rPr>
          <w:rFonts w:cs="Times New Roman"/>
          <w:sz w:val="22"/>
          <w:szCs w:val="22"/>
        </w:rPr>
        <w:t>*“Listed company” means a listed company whose common stocks are listed on the SET.</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November 14, 2008</w:t>
      </w:r>
      <w:r w:rsidR="00407775">
        <w:rPr>
          <w:rFonts w:cs="Times New Roman"/>
          <w:i/>
          <w:iCs/>
          <w:spacing w:val="-2"/>
          <w:sz w:val="20"/>
          <w:szCs w:val="20"/>
        </w:rPr>
        <w:t>, force November 24, 2008</w:t>
      </w:r>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“Board” means the Board of Directors of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“Managing Director” means the Managing Director of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“Compliance Sub-Committee” means a sub-committee appointed by the Board to perform the duty of considering the offences committed by the offenders or persons involved in the commission of offences against the regulations of TFEX, and the punishment against those persons.</w:t>
      </w:r>
    </w:p>
    <w:p w:rsidR="000441B9" w:rsidRDefault="003C5ADD" w:rsidP="00FC40EB">
      <w:pPr>
        <w:spacing w:after="120" w:line="276" w:lineRule="auto"/>
        <w:jc w:val="both"/>
        <w:rPr>
          <w:rFonts w:cs="Times New Roman"/>
          <w:sz w:val="22"/>
          <w:szCs w:val="22"/>
        </w:rPr>
      </w:pPr>
      <w:r w:rsidRPr="003C5ADD">
        <w:rPr>
          <w:rFonts w:cs="Times New Roman"/>
          <w:sz w:val="22"/>
          <w:szCs w:val="22"/>
        </w:rPr>
        <w:tab/>
        <w:t>“Appeal Committee” means a committee in charge of considering and deciding the appeals against punishment order.</w:t>
      </w:r>
    </w:p>
    <w:p w:rsidR="000441B9" w:rsidRDefault="003C5ADD" w:rsidP="00FC40EB">
      <w:pPr>
        <w:spacing w:after="120" w:line="276" w:lineRule="auto"/>
        <w:jc w:val="both"/>
        <w:rPr>
          <w:rFonts w:cs="Times New Roman"/>
          <w:spacing w:val="-8"/>
          <w:sz w:val="22"/>
          <w:szCs w:val="22"/>
        </w:rPr>
      </w:pPr>
      <w:r w:rsidRPr="003C5ADD">
        <w:rPr>
          <w:rFonts w:cs="Times New Roman"/>
          <w:sz w:val="22"/>
          <w:szCs w:val="22"/>
        </w:rPr>
        <w:tab/>
      </w:r>
      <w:r w:rsidRPr="003C5ADD">
        <w:rPr>
          <w:rFonts w:cs="Times New Roman"/>
          <w:spacing w:val="-8"/>
          <w:sz w:val="22"/>
          <w:szCs w:val="22"/>
        </w:rPr>
        <w:t>“Secretary to the Compliance Sub-Committee” means the secretary of the Compliance Sub-Committee.</w:t>
      </w:r>
    </w:p>
    <w:p w:rsidR="000441B9" w:rsidRDefault="003C5ADD" w:rsidP="00FC40EB">
      <w:pPr>
        <w:spacing w:after="120" w:line="276" w:lineRule="auto"/>
        <w:jc w:val="both"/>
        <w:rPr>
          <w:rFonts w:cs="Times New Roman"/>
          <w:sz w:val="22"/>
          <w:szCs w:val="22"/>
        </w:rPr>
      </w:pPr>
      <w:r w:rsidRPr="003C5ADD">
        <w:rPr>
          <w:rFonts w:cs="Times New Roman"/>
          <w:sz w:val="22"/>
          <w:szCs w:val="22"/>
        </w:rPr>
        <w:tab/>
        <w:t>“Secretary to the Appeal Committee” means the secretary of the Appeal Committee.</w:t>
      </w:r>
    </w:p>
    <w:p w:rsidR="000441B9" w:rsidRDefault="003C5ADD" w:rsidP="00FC40EB">
      <w:pPr>
        <w:spacing w:after="120" w:line="276" w:lineRule="auto"/>
        <w:jc w:val="both"/>
        <w:rPr>
          <w:rFonts w:cs="Times New Roman"/>
          <w:sz w:val="22"/>
          <w:szCs w:val="22"/>
        </w:rPr>
      </w:pPr>
      <w:r w:rsidRPr="003C5ADD">
        <w:rPr>
          <w:rFonts w:cs="Times New Roman"/>
          <w:sz w:val="22"/>
          <w:szCs w:val="22"/>
        </w:rPr>
        <w:tab/>
        <w:t>“Applicant” means an applicant who files an application for membership of TFEX.</w:t>
      </w:r>
    </w:p>
    <w:p w:rsidR="000441B9" w:rsidRDefault="003C5ADD" w:rsidP="00FC40EB">
      <w:pPr>
        <w:spacing w:after="120" w:line="276" w:lineRule="auto"/>
        <w:ind w:firstLine="748"/>
        <w:jc w:val="both"/>
        <w:rPr>
          <w:rFonts w:cs="Times New Roman"/>
          <w:sz w:val="22"/>
          <w:szCs w:val="22"/>
        </w:rPr>
      </w:pPr>
      <w:r w:rsidRPr="003C5ADD">
        <w:rPr>
          <w:rFonts w:cs="Times New Roman"/>
          <w:sz w:val="22"/>
          <w:szCs w:val="22"/>
        </w:rPr>
        <w:t>“Member” means a member of TFEX.</w:t>
      </w:r>
    </w:p>
    <w:p w:rsidR="000441B9" w:rsidRDefault="003C5ADD" w:rsidP="00FC40EB">
      <w:pPr>
        <w:spacing w:after="120" w:line="276" w:lineRule="auto"/>
        <w:ind w:firstLine="720"/>
        <w:jc w:val="both"/>
        <w:rPr>
          <w:rFonts w:cs="Times New Roman"/>
          <w:i/>
          <w:iCs/>
          <w:sz w:val="20"/>
          <w:szCs w:val="20"/>
        </w:rPr>
      </w:pPr>
      <w:r w:rsidRPr="003C5ADD">
        <w:rPr>
          <w:rFonts w:cs="Times New Roman"/>
          <w:sz w:val="22"/>
          <w:szCs w:val="22"/>
        </w:rPr>
        <w:t>*“Selling Agent” means a service provider under the Notification of the Office of the Securities and Exchange Commission regarding the rules for derivatives brokers on using precious metal futures contact services.</w:t>
      </w:r>
      <w:r w:rsidR="001E3A3F">
        <w:rPr>
          <w:rFonts w:cs="Times New Roman"/>
          <w:sz w:val="22"/>
          <w:szCs w:val="22"/>
        </w:rPr>
        <w:t xml:space="preserve">  </w:t>
      </w:r>
    </w:p>
    <w:p w:rsidR="000441B9" w:rsidRDefault="003C5ADD" w:rsidP="00FC40EB">
      <w:pPr>
        <w:spacing w:after="120" w:line="276" w:lineRule="auto"/>
        <w:ind w:firstLine="720"/>
        <w:jc w:val="both"/>
        <w:rPr>
          <w:rFonts w:cs="Times New Roman"/>
          <w:i/>
          <w:iCs/>
          <w:sz w:val="20"/>
          <w:szCs w:val="20"/>
        </w:rPr>
      </w:pPr>
      <w:r w:rsidRPr="003C5ADD">
        <w:rPr>
          <w:rFonts w:cs="Times New Roman"/>
          <w:i/>
          <w:iCs/>
          <w:sz w:val="20"/>
          <w:szCs w:val="20"/>
        </w:rPr>
        <w:t>(*Amended May 25, 2011</w:t>
      </w:r>
      <w:r w:rsidR="00407775">
        <w:rPr>
          <w:rFonts w:cs="Times New Roman"/>
          <w:i/>
          <w:iCs/>
          <w:sz w:val="20"/>
          <w:szCs w:val="20"/>
        </w:rPr>
        <w:t xml:space="preserve">, </w:t>
      </w:r>
      <w:r w:rsidR="00407775">
        <w:rPr>
          <w:rFonts w:cs="Times New Roman"/>
          <w:i/>
          <w:iCs/>
          <w:spacing w:val="-2"/>
          <w:sz w:val="20"/>
          <w:szCs w:val="20"/>
        </w:rPr>
        <w:t>force June 20, 20</w:t>
      </w:r>
      <w:r w:rsidR="00407775">
        <w:rPr>
          <w:rFonts w:cs="Times New Roman"/>
          <w:i/>
          <w:iCs/>
          <w:sz w:val="20"/>
          <w:szCs w:val="20"/>
        </w:rPr>
        <w:t>11</w:t>
      </w:r>
      <w:r w:rsidRPr="003C5ADD">
        <w:rPr>
          <w:rFonts w:cs="Times New Roman"/>
          <w:i/>
          <w:iCs/>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“Client” means a person for whom the member acts as an agent or broker in the trading of derivatives contracts on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“Beneficiary” means</w:t>
      </w:r>
    </w:p>
    <w:p w:rsidR="000441B9" w:rsidRDefault="003C5ADD" w:rsidP="00FC40EB">
      <w:pPr>
        <w:spacing w:after="120" w:line="276" w:lineRule="auto"/>
        <w:jc w:val="both"/>
        <w:rPr>
          <w:rFonts w:cs="Times New Roman"/>
          <w:sz w:val="22"/>
          <w:szCs w:val="22"/>
        </w:rPr>
      </w:pPr>
      <w:r w:rsidRPr="003C5ADD">
        <w:rPr>
          <w:rFonts w:cs="Times New Roman"/>
          <w:sz w:val="22"/>
          <w:szCs w:val="22"/>
        </w:rPr>
        <w:tab/>
        <w:t>(1)</w:t>
      </w:r>
      <w:r w:rsidRPr="003C5ADD">
        <w:rPr>
          <w:rFonts w:cs="Times New Roman"/>
          <w:sz w:val="22"/>
          <w:szCs w:val="22"/>
        </w:rPr>
        <w:tab/>
      </w:r>
      <w:proofErr w:type="gramStart"/>
      <w:r w:rsidRPr="003C5ADD">
        <w:rPr>
          <w:rFonts w:cs="Times New Roman"/>
          <w:sz w:val="22"/>
          <w:szCs w:val="22"/>
        </w:rPr>
        <w:t>a</w:t>
      </w:r>
      <w:proofErr w:type="gramEnd"/>
      <w:r w:rsidRPr="003C5ADD">
        <w:rPr>
          <w:rFonts w:cs="Times New Roman"/>
          <w:sz w:val="22"/>
          <w:szCs w:val="22"/>
        </w:rPr>
        <w:t xml:space="preserve"> beneficiary or co-beneficiary in the trading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t>(2)</w:t>
      </w:r>
      <w:r w:rsidRPr="003C5ADD">
        <w:rPr>
          <w:rFonts w:cs="Times New Roman"/>
          <w:sz w:val="22"/>
          <w:szCs w:val="22"/>
        </w:rPr>
        <w:tab/>
      </w:r>
      <w:proofErr w:type="gramStart"/>
      <w:r w:rsidRPr="003C5ADD">
        <w:rPr>
          <w:rFonts w:cs="Times New Roman"/>
          <w:sz w:val="22"/>
          <w:szCs w:val="22"/>
        </w:rPr>
        <w:t>a</w:t>
      </w:r>
      <w:proofErr w:type="gramEnd"/>
      <w:r w:rsidRPr="003C5ADD">
        <w:rPr>
          <w:rFonts w:cs="Times New Roman"/>
          <w:sz w:val="22"/>
          <w:szCs w:val="22"/>
        </w:rPr>
        <w:t xml:space="preserve"> person who has the power to control the trading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t>(3)</w:t>
      </w:r>
      <w:r w:rsidRPr="003C5ADD">
        <w:rPr>
          <w:rFonts w:cs="Times New Roman"/>
          <w:sz w:val="22"/>
          <w:szCs w:val="22"/>
        </w:rPr>
        <w:tab/>
      </w:r>
      <w:proofErr w:type="gramStart"/>
      <w:r w:rsidRPr="003C5ADD">
        <w:rPr>
          <w:rFonts w:cs="Times New Roman"/>
          <w:sz w:val="22"/>
          <w:szCs w:val="22"/>
        </w:rPr>
        <w:t>a</w:t>
      </w:r>
      <w:proofErr w:type="gramEnd"/>
      <w:r w:rsidRPr="003C5ADD">
        <w:rPr>
          <w:rFonts w:cs="Times New Roman"/>
          <w:sz w:val="22"/>
          <w:szCs w:val="22"/>
        </w:rPr>
        <w:t xml:space="preserve"> person who provides financial support for the purpose of the trading or the clearing related to or as a result of the trading of derivatives contracts.</w:t>
      </w:r>
    </w:p>
    <w:p w:rsidR="000441B9" w:rsidRDefault="003C5ADD" w:rsidP="00FC40EB">
      <w:pPr>
        <w:spacing w:after="120" w:line="276" w:lineRule="auto"/>
        <w:jc w:val="both"/>
        <w:rPr>
          <w:rFonts w:cs="Times New Roman"/>
          <w:sz w:val="22"/>
          <w:szCs w:val="22"/>
        </w:rPr>
      </w:pPr>
      <w:r w:rsidRPr="003C5ADD">
        <w:rPr>
          <w:rFonts w:cs="Times New Roman"/>
          <w:sz w:val="22"/>
          <w:szCs w:val="22"/>
        </w:rPr>
        <w:tab/>
      </w:r>
      <w:r w:rsidRPr="003C5ADD">
        <w:rPr>
          <w:rFonts w:cs="Times New Roman"/>
          <w:sz w:val="22"/>
          <w:szCs w:val="22"/>
        </w:rPr>
        <w:tab/>
        <w:t>This is irrespective of whether the benefit, control or financial support arises from an agreement, understanding, any relationship or otherwise.</w:t>
      </w:r>
    </w:p>
    <w:p w:rsidR="005D7BB5" w:rsidRPr="004E6458" w:rsidRDefault="003C5ADD" w:rsidP="005D7BB5">
      <w:pPr>
        <w:spacing w:after="120" w:line="276" w:lineRule="auto"/>
        <w:jc w:val="both"/>
        <w:rPr>
          <w:rFonts w:cs="Times New Roman"/>
          <w:i/>
          <w:iCs/>
          <w:sz w:val="22"/>
          <w:szCs w:val="22"/>
        </w:rPr>
      </w:pPr>
      <w:r w:rsidRPr="003C5ADD">
        <w:rPr>
          <w:rFonts w:cs="Times New Roman"/>
          <w:sz w:val="22"/>
          <w:szCs w:val="22"/>
          <w:cs/>
        </w:rPr>
        <w:tab/>
      </w:r>
      <w:r w:rsidR="005D7BB5">
        <w:rPr>
          <w:rFonts w:cs="Times New Roman"/>
          <w:szCs w:val="22"/>
        </w:rPr>
        <w:t>*</w:t>
      </w:r>
      <w:r w:rsidR="005D7BB5" w:rsidRPr="004E6458">
        <w:rPr>
          <w:rFonts w:cs="Times New Roman"/>
          <w:sz w:val="22"/>
          <w:szCs w:val="22"/>
        </w:rPr>
        <w:t xml:space="preserve">“Hedger” means a person </w:t>
      </w:r>
      <w:r w:rsidR="005D7BB5" w:rsidRPr="004B2A9F">
        <w:rPr>
          <w:rFonts w:cs="Times New Roman"/>
          <w:sz w:val="22"/>
          <w:szCs w:val="22"/>
        </w:rPr>
        <w:t xml:space="preserve">registered </w:t>
      </w:r>
      <w:r w:rsidR="004B2A9F" w:rsidRPr="004B2A9F">
        <w:rPr>
          <w:rFonts w:cs="Times New Roman"/>
          <w:sz w:val="22"/>
          <w:szCs w:val="22"/>
        </w:rPr>
        <w:t xml:space="preserve">as </w:t>
      </w:r>
      <w:r w:rsidR="004B2A9F" w:rsidRPr="003D1F40">
        <w:rPr>
          <w:rFonts w:cs="Times New Roman"/>
          <w:sz w:val="22"/>
          <w:szCs w:val="22"/>
        </w:rPr>
        <w:t xml:space="preserve">a hedger </w:t>
      </w:r>
      <w:r w:rsidR="005D7BB5" w:rsidRPr="003D1F40">
        <w:rPr>
          <w:rFonts w:cs="Times New Roman"/>
          <w:sz w:val="22"/>
          <w:szCs w:val="22"/>
        </w:rPr>
        <w:t xml:space="preserve">by TFEX </w:t>
      </w:r>
      <w:r w:rsidR="004B2A9F" w:rsidRPr="003D1F40">
        <w:rPr>
          <w:rFonts w:cs="Times New Roman"/>
          <w:sz w:val="22"/>
          <w:szCs w:val="22"/>
        </w:rPr>
        <w:t>for the purpose of</w:t>
      </w:r>
      <w:r w:rsidR="005D7BB5" w:rsidRPr="003D1F40">
        <w:rPr>
          <w:rFonts w:cs="Times New Roman"/>
          <w:sz w:val="22"/>
          <w:szCs w:val="22"/>
        </w:rPr>
        <w:t xml:space="preserve"> </w:t>
      </w:r>
      <w:r w:rsidR="00E50780" w:rsidRPr="003D1F40">
        <w:rPr>
          <w:rFonts w:cs="Times New Roman"/>
          <w:sz w:val="22"/>
          <w:szCs w:val="22"/>
        </w:rPr>
        <w:t>t</w:t>
      </w:r>
      <w:r w:rsidR="004B2A9F" w:rsidRPr="003D1F40">
        <w:rPr>
          <w:rFonts w:cs="Times New Roman"/>
          <w:sz w:val="22"/>
          <w:szCs w:val="22"/>
        </w:rPr>
        <w:t>rading</w:t>
      </w:r>
      <w:r w:rsidR="00E50780" w:rsidRPr="003D1F40">
        <w:rPr>
          <w:rFonts w:cs="Times New Roman"/>
          <w:sz w:val="22"/>
          <w:szCs w:val="22"/>
        </w:rPr>
        <w:t xml:space="preserve"> derivative position</w:t>
      </w:r>
      <w:r w:rsidR="00E50780" w:rsidRPr="004E6458">
        <w:rPr>
          <w:rFonts w:cs="Times New Roman"/>
          <w:sz w:val="22"/>
          <w:szCs w:val="22"/>
        </w:rPr>
        <w:t xml:space="preserve"> </w:t>
      </w:r>
      <w:r w:rsidR="00E50780">
        <w:rPr>
          <w:rFonts w:cs="Times New Roman"/>
          <w:sz w:val="22"/>
          <w:szCs w:val="22"/>
        </w:rPr>
        <w:t xml:space="preserve">for </w:t>
      </w:r>
      <w:r w:rsidR="005D7BB5" w:rsidRPr="004E6458">
        <w:rPr>
          <w:rFonts w:cs="Times New Roman"/>
          <w:sz w:val="22"/>
          <w:szCs w:val="22"/>
        </w:rPr>
        <w:t>risk hedging.</w:t>
      </w:r>
    </w:p>
    <w:p w:rsidR="00E50780" w:rsidRDefault="005D7BB5" w:rsidP="005D7BB5">
      <w:pPr>
        <w:spacing w:after="120" w:line="276" w:lineRule="auto"/>
        <w:jc w:val="both"/>
        <w:rPr>
          <w:rFonts w:cs="Times New Roman"/>
          <w:sz w:val="22"/>
          <w:szCs w:val="22"/>
        </w:rPr>
      </w:pPr>
      <w:r>
        <w:rPr>
          <w:rFonts w:cs="Times New Roman"/>
          <w:i/>
          <w:iCs/>
          <w:sz w:val="20"/>
          <w:szCs w:val="20"/>
        </w:rPr>
        <w:tab/>
      </w:r>
      <w:r w:rsidRPr="009E24C4">
        <w:rPr>
          <w:rFonts w:cs="Times New Roman"/>
          <w:i/>
          <w:iCs/>
          <w:spacing w:val="-2"/>
          <w:sz w:val="20"/>
          <w:szCs w:val="20"/>
        </w:rPr>
        <w:t xml:space="preserve">(*Added </w:t>
      </w:r>
      <w:r w:rsidR="009E24C4" w:rsidRPr="009E24C4">
        <w:rPr>
          <w:rFonts w:cs="Times New Roman"/>
          <w:i/>
          <w:iCs/>
          <w:spacing w:val="-2"/>
          <w:sz w:val="20"/>
          <w:szCs w:val="20"/>
        </w:rPr>
        <w:t>February 22</w:t>
      </w:r>
      <w:proofErr w:type="gramStart"/>
      <w:r w:rsidRPr="009E24C4">
        <w:rPr>
          <w:rFonts w:cs="Times New Roman"/>
          <w:i/>
          <w:iCs/>
          <w:spacing w:val="-2"/>
          <w:sz w:val="20"/>
          <w:szCs w:val="20"/>
        </w:rPr>
        <w:t>,</w:t>
      </w:r>
      <w:r w:rsidR="009E24C4" w:rsidRPr="009E24C4">
        <w:rPr>
          <w:rFonts w:cs="Times New Roman"/>
          <w:i/>
          <w:iCs/>
          <w:spacing w:val="-2"/>
          <w:sz w:val="20"/>
          <w:szCs w:val="20"/>
        </w:rPr>
        <w:t>2017</w:t>
      </w:r>
      <w:proofErr w:type="gramEnd"/>
      <w:r w:rsidRPr="009E24C4">
        <w:rPr>
          <w:rFonts w:cs="Times New Roman"/>
          <w:i/>
          <w:iCs/>
          <w:spacing w:val="-2"/>
          <w:sz w:val="20"/>
          <w:szCs w:val="20"/>
        </w:rPr>
        <w:t xml:space="preserve"> force </w:t>
      </w:r>
      <w:r w:rsidR="009E24C4" w:rsidRPr="009E24C4">
        <w:rPr>
          <w:rFonts w:cs="Times New Roman"/>
          <w:i/>
          <w:iCs/>
          <w:spacing w:val="-2"/>
          <w:sz w:val="20"/>
          <w:szCs w:val="20"/>
        </w:rPr>
        <w:t>February 22,2017</w:t>
      </w:r>
      <w:r w:rsidRPr="009E24C4">
        <w:rPr>
          <w:rFonts w:cs="Times New Roman"/>
          <w:i/>
          <w:iCs/>
          <w:spacing w:val="-2"/>
          <w:sz w:val="20"/>
          <w:szCs w:val="20"/>
        </w:rPr>
        <w:t>)</w:t>
      </w:r>
      <w:r w:rsidR="00E50780" w:rsidRPr="00E50780">
        <w:rPr>
          <w:rFonts w:cs="Times New Roman"/>
          <w:sz w:val="22"/>
          <w:szCs w:val="22"/>
        </w:rPr>
        <w:t xml:space="preserve"> </w:t>
      </w:r>
    </w:p>
    <w:p w:rsidR="000441B9" w:rsidRDefault="00066864" w:rsidP="005D7BB5">
      <w:pPr>
        <w:spacing w:after="120" w:line="276" w:lineRule="auto"/>
        <w:jc w:val="both"/>
        <w:rPr>
          <w:rFonts w:cs="Times New Roman"/>
          <w:sz w:val="22"/>
          <w:szCs w:val="22"/>
        </w:rPr>
      </w:pPr>
      <w:r>
        <w:rPr>
          <w:rFonts w:cs="Times New Roman"/>
          <w:sz w:val="22"/>
          <w:szCs w:val="22"/>
        </w:rPr>
        <w:tab/>
      </w:r>
      <w:r w:rsidR="003C5ADD" w:rsidRPr="003C5ADD">
        <w:rPr>
          <w:rFonts w:cs="Times New Roman"/>
          <w:sz w:val="22"/>
          <w:szCs w:val="22"/>
        </w:rPr>
        <w:t>“Related person” means a person who has relationship with a member or client as follows:</w:t>
      </w:r>
    </w:p>
    <w:p w:rsidR="000441B9" w:rsidRDefault="003C5ADD" w:rsidP="00FC40EB">
      <w:pPr>
        <w:spacing w:after="120" w:line="276" w:lineRule="auto"/>
        <w:jc w:val="both"/>
        <w:rPr>
          <w:rFonts w:cs="Times New Roman"/>
          <w:sz w:val="22"/>
          <w:szCs w:val="22"/>
        </w:rPr>
      </w:pPr>
      <w:r w:rsidRPr="003C5ADD">
        <w:rPr>
          <w:rFonts w:cs="Times New Roman"/>
          <w:sz w:val="22"/>
          <w:szCs w:val="22"/>
        </w:rPr>
        <w:lastRenderedPageBreak/>
        <w:tab/>
        <w:t>(1)</w:t>
      </w:r>
      <w:r w:rsidRPr="003C5ADD">
        <w:rPr>
          <w:rFonts w:cs="Times New Roman"/>
          <w:sz w:val="22"/>
          <w:szCs w:val="22"/>
        </w:rPr>
        <w:tab/>
      </w:r>
      <w:proofErr w:type="gramStart"/>
      <w:r w:rsidRPr="003C5ADD">
        <w:rPr>
          <w:rFonts w:cs="Times New Roman"/>
          <w:sz w:val="22"/>
          <w:szCs w:val="22"/>
        </w:rPr>
        <w:t>the</w:t>
      </w:r>
      <w:proofErr w:type="gramEnd"/>
      <w:r w:rsidRPr="003C5ADD">
        <w:rPr>
          <w:rFonts w:cs="Times New Roman"/>
          <w:sz w:val="22"/>
          <w:szCs w:val="22"/>
        </w:rPr>
        <w:t xml:space="preserve"> spouse;</w:t>
      </w:r>
    </w:p>
    <w:p w:rsidR="000441B9" w:rsidRDefault="003C5ADD" w:rsidP="00FC40EB">
      <w:pPr>
        <w:spacing w:after="120" w:line="276" w:lineRule="auto"/>
        <w:jc w:val="both"/>
        <w:rPr>
          <w:rFonts w:cs="Times New Roman"/>
          <w:sz w:val="22"/>
          <w:szCs w:val="22"/>
        </w:rPr>
      </w:pPr>
      <w:r w:rsidRPr="003C5ADD">
        <w:rPr>
          <w:rFonts w:cs="Times New Roman"/>
          <w:sz w:val="22"/>
          <w:szCs w:val="22"/>
        </w:rPr>
        <w:tab/>
        <w:t>(2)</w:t>
      </w:r>
      <w:r w:rsidRPr="003C5ADD">
        <w:rPr>
          <w:rFonts w:cs="Times New Roman"/>
          <w:sz w:val="22"/>
          <w:szCs w:val="22"/>
        </w:rPr>
        <w:tab/>
      </w:r>
      <w:proofErr w:type="gramStart"/>
      <w:r w:rsidRPr="003C5ADD">
        <w:rPr>
          <w:rFonts w:cs="Times New Roman"/>
          <w:sz w:val="22"/>
          <w:szCs w:val="22"/>
        </w:rPr>
        <w:t>a</w:t>
      </w:r>
      <w:proofErr w:type="gramEnd"/>
      <w:r w:rsidRPr="003C5ADD">
        <w:rPr>
          <w:rFonts w:cs="Times New Roman"/>
          <w:sz w:val="22"/>
          <w:szCs w:val="22"/>
        </w:rPr>
        <w:t xml:space="preserve"> minor child;</w:t>
      </w:r>
    </w:p>
    <w:p w:rsidR="000441B9" w:rsidRDefault="003C5ADD" w:rsidP="00FC40EB">
      <w:pPr>
        <w:spacing w:after="120" w:line="276" w:lineRule="auto"/>
        <w:jc w:val="both"/>
        <w:rPr>
          <w:rFonts w:cs="Times New Roman"/>
          <w:sz w:val="22"/>
          <w:szCs w:val="22"/>
        </w:rPr>
      </w:pPr>
      <w:r w:rsidRPr="003C5ADD">
        <w:rPr>
          <w:rFonts w:cs="Times New Roman"/>
          <w:sz w:val="22"/>
          <w:szCs w:val="22"/>
        </w:rPr>
        <w:tab/>
        <w:t>(3)</w:t>
      </w:r>
      <w:r w:rsidRPr="003C5ADD">
        <w:rPr>
          <w:rFonts w:cs="Times New Roman"/>
          <w:sz w:val="22"/>
          <w:szCs w:val="22"/>
        </w:rPr>
        <w:tab/>
      </w:r>
      <w:proofErr w:type="gramStart"/>
      <w:r w:rsidRPr="003C5ADD">
        <w:rPr>
          <w:rFonts w:cs="Times New Roman"/>
          <w:sz w:val="22"/>
          <w:szCs w:val="22"/>
        </w:rPr>
        <w:t>an</w:t>
      </w:r>
      <w:proofErr w:type="gramEnd"/>
      <w:r w:rsidRPr="003C5ADD">
        <w:rPr>
          <w:rFonts w:cs="Times New Roman"/>
          <w:sz w:val="22"/>
          <w:szCs w:val="22"/>
        </w:rPr>
        <w:t xml:space="preserve"> ordinary partnership in which the member or client or the person under (1) or (2) is a partner;</w:t>
      </w:r>
    </w:p>
    <w:p w:rsidR="000441B9" w:rsidRDefault="003C5ADD" w:rsidP="00FC40EB">
      <w:pPr>
        <w:spacing w:after="120" w:line="276" w:lineRule="auto"/>
        <w:jc w:val="both"/>
        <w:rPr>
          <w:rFonts w:cs="Times New Roman"/>
          <w:sz w:val="22"/>
          <w:szCs w:val="22"/>
        </w:rPr>
      </w:pPr>
      <w:r w:rsidRPr="003C5ADD">
        <w:rPr>
          <w:rFonts w:cs="Times New Roman"/>
          <w:sz w:val="22"/>
          <w:szCs w:val="22"/>
        </w:rPr>
        <w:tab/>
        <w:t>(4)</w:t>
      </w:r>
      <w:r w:rsidRPr="003C5ADD">
        <w:rPr>
          <w:rFonts w:cs="Times New Roman"/>
          <w:sz w:val="22"/>
          <w:szCs w:val="22"/>
        </w:rPr>
        <w:tab/>
        <w:t>a limited partnership in which the member or client or the person under (1) or (2) is an unlimited liability partner or a limited liability partner who collectively holds contribution in an amount exceeding 30 percent of the total contribution of the limited partnership;</w:t>
      </w:r>
    </w:p>
    <w:p w:rsidR="000441B9" w:rsidRDefault="003C5ADD" w:rsidP="00FC40EB">
      <w:pPr>
        <w:spacing w:after="120" w:line="276" w:lineRule="auto"/>
        <w:jc w:val="both"/>
        <w:rPr>
          <w:rFonts w:cs="Times New Roman"/>
          <w:sz w:val="22"/>
          <w:szCs w:val="22"/>
        </w:rPr>
      </w:pPr>
      <w:r w:rsidRPr="003C5ADD">
        <w:rPr>
          <w:rFonts w:cs="Times New Roman"/>
          <w:sz w:val="22"/>
          <w:szCs w:val="22"/>
        </w:rPr>
        <w:tab/>
        <w:t>(5)</w:t>
      </w:r>
      <w:r w:rsidRPr="003C5ADD">
        <w:rPr>
          <w:rFonts w:cs="Times New Roman"/>
          <w:sz w:val="22"/>
          <w:szCs w:val="22"/>
        </w:rPr>
        <w:tab/>
        <w:t>a limited company or a public limited company in which the member or client or the person under (1) or (2) or the partnership under (3) or (4) collectively holds shares in an amount exceeding 30 percent of the total shares sold of that company;</w:t>
      </w:r>
    </w:p>
    <w:p w:rsidR="000441B9" w:rsidRDefault="003C5ADD" w:rsidP="00FC40EB">
      <w:pPr>
        <w:spacing w:after="120" w:line="276" w:lineRule="auto"/>
        <w:jc w:val="both"/>
        <w:rPr>
          <w:rFonts w:cs="Times New Roman"/>
          <w:sz w:val="22"/>
          <w:szCs w:val="22"/>
        </w:rPr>
      </w:pPr>
      <w:r w:rsidRPr="003C5ADD">
        <w:rPr>
          <w:rFonts w:cs="Times New Roman"/>
          <w:sz w:val="22"/>
          <w:szCs w:val="22"/>
        </w:rPr>
        <w:tab/>
        <w:t>(6)</w:t>
      </w:r>
      <w:r w:rsidRPr="003C5ADD">
        <w:rPr>
          <w:rFonts w:cs="Times New Roman"/>
          <w:sz w:val="22"/>
          <w:szCs w:val="22"/>
        </w:rPr>
        <w:tab/>
        <w:t>a limited company or a public limited company in which the member or client or the person under (1) or (2) or the partnership under (3) or (4) or the company under (5) collectively holds shares in an amount exceeding 30 percent of the total shares sold of that company; or</w:t>
      </w:r>
    </w:p>
    <w:p w:rsidR="000441B9" w:rsidRDefault="003C5ADD" w:rsidP="00FC40EB">
      <w:pPr>
        <w:spacing w:after="120" w:line="276" w:lineRule="auto"/>
        <w:jc w:val="both"/>
        <w:rPr>
          <w:rFonts w:cs="Times New Roman"/>
          <w:sz w:val="22"/>
          <w:szCs w:val="22"/>
        </w:rPr>
      </w:pPr>
      <w:r w:rsidRPr="003C5ADD">
        <w:rPr>
          <w:rFonts w:cs="Times New Roman"/>
          <w:sz w:val="22"/>
          <w:szCs w:val="22"/>
        </w:rPr>
        <w:tab/>
        <w:t>(7)</w:t>
      </w:r>
      <w:r w:rsidRPr="003C5ADD">
        <w:rPr>
          <w:rFonts w:cs="Times New Roman"/>
          <w:sz w:val="22"/>
          <w:szCs w:val="22"/>
        </w:rPr>
        <w:tab/>
      </w:r>
      <w:proofErr w:type="gramStart"/>
      <w:r w:rsidRPr="003C5ADD">
        <w:rPr>
          <w:rFonts w:cs="Times New Roman"/>
          <w:sz w:val="22"/>
          <w:szCs w:val="22"/>
        </w:rPr>
        <w:t>a</w:t>
      </w:r>
      <w:proofErr w:type="gramEnd"/>
      <w:r w:rsidRPr="003C5ADD">
        <w:rPr>
          <w:rFonts w:cs="Times New Roman"/>
          <w:sz w:val="22"/>
          <w:szCs w:val="22"/>
        </w:rPr>
        <w:t xml:space="preserve"> juristic person over which the member or client has the power of management as its representative.</w:t>
      </w:r>
    </w:p>
    <w:p w:rsidR="000441B9" w:rsidRDefault="003C5ADD" w:rsidP="00FC40EB">
      <w:pPr>
        <w:spacing w:after="120" w:line="276" w:lineRule="auto"/>
        <w:jc w:val="both"/>
        <w:rPr>
          <w:rFonts w:cs="Times New Roman"/>
          <w:sz w:val="22"/>
          <w:szCs w:val="22"/>
        </w:rPr>
      </w:pPr>
      <w:r w:rsidRPr="003C5ADD">
        <w:rPr>
          <w:rFonts w:cs="Times New Roman"/>
          <w:sz w:val="22"/>
          <w:szCs w:val="22"/>
        </w:rPr>
        <w:tab/>
        <w:t>*“Investor Contact” means a person who has been granted approval to carry out the duties of contacting investors; soliciting or giving advice on or planning investment for investors for the purposes of trading or investing in futures contracts, in accordance with the Notification of the Capital Market Supervisory Board re: Approval for Personnel of Business Operators to Perform Investment Analyses and Investment Advisory Duties.</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September 14, 2012</w:t>
      </w:r>
      <w:r w:rsidR="00407775">
        <w:rPr>
          <w:rFonts w:cs="Times New Roman"/>
          <w:i/>
          <w:iCs/>
          <w:spacing w:val="-2"/>
          <w:sz w:val="20"/>
          <w:szCs w:val="20"/>
        </w:rPr>
        <w:t>, force October 29, 2012</w:t>
      </w:r>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r>
      <w:proofErr w:type="gramStart"/>
      <w:r w:rsidRPr="003C5ADD">
        <w:rPr>
          <w:rFonts w:cs="Times New Roman"/>
          <w:sz w:val="22"/>
          <w:szCs w:val="22"/>
        </w:rPr>
        <w:t>“Authorized trader” means a person registered by TFEX in order to be an agent of the member in the trading through the trading system.</w:t>
      </w:r>
      <w:proofErr w:type="gramEnd"/>
    </w:p>
    <w:p w:rsidR="000441B9" w:rsidRDefault="003C5ADD" w:rsidP="00FC40EB">
      <w:pPr>
        <w:spacing w:after="120" w:line="276" w:lineRule="auto"/>
        <w:jc w:val="both"/>
        <w:rPr>
          <w:rFonts w:cs="Times New Roman"/>
          <w:sz w:val="22"/>
          <w:szCs w:val="22"/>
        </w:rPr>
      </w:pPr>
      <w:r w:rsidRPr="003C5ADD">
        <w:rPr>
          <w:rFonts w:cs="Times New Roman"/>
          <w:sz w:val="22"/>
          <w:szCs w:val="22"/>
        </w:rPr>
        <w:tab/>
        <w:t>*“Market maker” means a person registered as a market maker to maintain the liquidity of trading on TFEX.</w:t>
      </w:r>
    </w:p>
    <w:p w:rsidR="000441B9" w:rsidRDefault="003C5ADD" w:rsidP="00FC40EB">
      <w:pPr>
        <w:spacing w:after="120" w:line="276" w:lineRule="auto"/>
        <w:ind w:firstLine="720"/>
        <w:jc w:val="both"/>
        <w:rPr>
          <w:rFonts w:cs="Times New Roman"/>
          <w:i/>
          <w:iCs/>
          <w:spacing w:val="-2"/>
          <w:sz w:val="20"/>
          <w:szCs w:val="20"/>
        </w:rPr>
      </w:pPr>
      <w:r w:rsidRPr="003C5ADD">
        <w:rPr>
          <w:rFonts w:cs="Times New Roman"/>
          <w:i/>
          <w:iCs/>
          <w:spacing w:val="-2"/>
          <w:sz w:val="20"/>
          <w:szCs w:val="20"/>
        </w:rPr>
        <w:t>(*Amended August 24, 2006</w:t>
      </w:r>
      <w:r w:rsidR="00407775">
        <w:rPr>
          <w:rFonts w:cs="Times New Roman"/>
          <w:i/>
          <w:iCs/>
          <w:spacing w:val="-2"/>
          <w:sz w:val="20"/>
          <w:szCs w:val="20"/>
        </w:rPr>
        <w:t>, force August 28, 2006</w:t>
      </w:r>
      <w:r w:rsidRPr="003C5ADD">
        <w:rPr>
          <w:rFonts w:cs="Times New Roman"/>
          <w:i/>
          <w:iCs/>
          <w:spacing w:val="-2"/>
          <w:sz w:val="20"/>
          <w:szCs w:val="20"/>
        </w:rPr>
        <w:t>)</w:t>
      </w:r>
    </w:p>
    <w:p w:rsidR="000441B9" w:rsidRDefault="003C5ADD" w:rsidP="00FC40EB">
      <w:pPr>
        <w:spacing w:after="120" w:line="276" w:lineRule="auto"/>
        <w:jc w:val="both"/>
        <w:rPr>
          <w:rFonts w:cs="Times New Roman"/>
          <w:sz w:val="22"/>
          <w:szCs w:val="22"/>
        </w:rPr>
      </w:pPr>
      <w:r w:rsidRPr="003C5ADD">
        <w:rPr>
          <w:rFonts w:cs="Times New Roman"/>
          <w:sz w:val="22"/>
          <w:szCs w:val="22"/>
        </w:rPr>
        <w:tab/>
        <w:t xml:space="preserve">“Arbitrators” </w:t>
      </w:r>
      <w:proofErr w:type="gramStart"/>
      <w:r w:rsidRPr="003C5ADD">
        <w:rPr>
          <w:rFonts w:cs="Times New Roman"/>
          <w:sz w:val="22"/>
          <w:szCs w:val="22"/>
        </w:rPr>
        <w:t>means the arbitrators</w:t>
      </w:r>
      <w:proofErr w:type="gramEnd"/>
      <w:r w:rsidRPr="003C5ADD">
        <w:rPr>
          <w:rFonts w:cs="Times New Roman"/>
          <w:sz w:val="22"/>
          <w:szCs w:val="22"/>
        </w:rPr>
        <w:t xml:space="preserve"> provided by TFEX.</w:t>
      </w:r>
    </w:p>
    <w:p w:rsidR="000441B9" w:rsidRDefault="003C5ADD" w:rsidP="00FC40EB">
      <w:pPr>
        <w:spacing w:after="120" w:line="276" w:lineRule="auto"/>
        <w:jc w:val="both"/>
        <w:rPr>
          <w:rFonts w:cs="Times New Roman"/>
          <w:sz w:val="22"/>
          <w:szCs w:val="22"/>
        </w:rPr>
      </w:pPr>
      <w:r w:rsidRPr="003C5ADD">
        <w:rPr>
          <w:rFonts w:cs="Times New Roman"/>
          <w:sz w:val="22"/>
          <w:szCs w:val="22"/>
        </w:rPr>
        <w:tab/>
        <w:t>“Applicant for dispute settlement” means a party that files an application for dispute settlement by arbitrators.</w:t>
      </w:r>
    </w:p>
    <w:p w:rsidR="000441B9" w:rsidRDefault="003C5ADD" w:rsidP="00FC40EB">
      <w:pPr>
        <w:spacing w:after="120" w:line="276" w:lineRule="auto"/>
        <w:jc w:val="both"/>
        <w:rPr>
          <w:rFonts w:cs="Times New Roman"/>
          <w:sz w:val="22"/>
          <w:szCs w:val="22"/>
        </w:rPr>
      </w:pPr>
      <w:r w:rsidRPr="003C5ADD">
        <w:rPr>
          <w:rFonts w:cs="Times New Roman"/>
          <w:sz w:val="22"/>
          <w:szCs w:val="22"/>
        </w:rPr>
        <w:tab/>
        <w:t>“Force majeure” means any event that may happen and could not be prevented even though appropriate care is taken as might be expected in that situation and condition.</w:t>
      </w:r>
    </w:p>
    <w:p w:rsidR="000441B9" w:rsidRDefault="003C5ADD" w:rsidP="00FC40EB">
      <w:pPr>
        <w:spacing w:after="120" w:line="276" w:lineRule="auto"/>
        <w:jc w:val="both"/>
        <w:rPr>
          <w:rFonts w:cs="Times New Roman"/>
          <w:sz w:val="22"/>
          <w:szCs w:val="22"/>
        </w:rPr>
      </w:pPr>
      <w:r w:rsidRPr="003C5ADD">
        <w:rPr>
          <w:rFonts w:cs="Times New Roman"/>
          <w:sz w:val="22"/>
          <w:szCs w:val="22"/>
        </w:rPr>
        <w:tab/>
        <w:t xml:space="preserve">“Punishment order” means an order of the Board, an order of the Managing Director and an order of the sub-committee appointed by the Board as a result of which a punishment is imposed on a </w:t>
      </w:r>
      <w:r w:rsidR="00FC40EB">
        <w:rPr>
          <w:rFonts w:cs="Times New Roman"/>
          <w:sz w:val="22"/>
          <w:szCs w:val="22"/>
        </w:rPr>
        <w:t xml:space="preserve">person due to his violation of </w:t>
      </w:r>
      <w:r w:rsidRPr="003C5ADD">
        <w:rPr>
          <w:rFonts w:cs="Times New Roman"/>
          <w:sz w:val="22"/>
          <w:szCs w:val="22"/>
        </w:rPr>
        <w:t>the rules and regulations of TFEX.</w:t>
      </w:r>
    </w:p>
    <w:p w:rsidR="00000000" w:rsidRDefault="00D439F4">
      <w:pPr>
        <w:spacing w:line="276" w:lineRule="auto"/>
        <w:jc w:val="center"/>
        <w:rPr>
          <w:rFonts w:cs="Times New Roman"/>
          <w:sz w:val="22"/>
          <w:szCs w:val="22"/>
        </w:rPr>
      </w:pPr>
      <w:r>
        <w:rPr>
          <w:rFonts w:cs="Times New Roman"/>
          <w:szCs w:val="22"/>
        </w:rPr>
        <w:tab/>
      </w:r>
      <w:r w:rsidR="003C5ADD" w:rsidRPr="003C5ADD">
        <w:rPr>
          <w:rFonts w:cs="Times New Roman"/>
          <w:sz w:val="22"/>
          <w:szCs w:val="22"/>
        </w:rPr>
        <w:t>******************************</w:t>
      </w:r>
    </w:p>
    <w:sectPr w:rsidR="00000000" w:rsidSect="000336A0">
      <w:footerReference w:type="default" r:id="rId13"/>
      <w:pgSz w:w="11906" w:h="16838"/>
      <w:pgMar w:top="1742" w:right="1700" w:bottom="1440" w:left="1701" w:header="426"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D2" w:rsidRDefault="00E32DD2">
      <w:r>
        <w:separator/>
      </w:r>
    </w:p>
  </w:endnote>
  <w:endnote w:type="continuationSeparator" w:id="0">
    <w:p w:rsidR="00E32DD2" w:rsidRDefault="00E3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D2" w:rsidRDefault="00E32DD2">
    <w:pPr>
      <w:pStyle w:val="Footer"/>
      <w:framePr w:wrap="around" w:vAnchor="text" w:hAnchor="margin" w:xAlign="center" w:y="1"/>
      <w:ind w:right="360"/>
      <w:rPr>
        <w:rStyle w:val="PageNumber"/>
        <w:rFonts w:ascii="Angsana New" w:hAnsi="Angsana New"/>
        <w:sz w:val="30"/>
        <w:szCs w:val="30"/>
      </w:rPr>
    </w:pPr>
    <w:r>
      <w:rPr>
        <w:rStyle w:val="PageNumber"/>
        <w:rFonts w:ascii="Angsana New" w:hAnsi="Angsana New"/>
        <w:sz w:val="30"/>
        <w:szCs w:val="30"/>
      </w:rPr>
      <w:t>200</w:t>
    </w:r>
  </w:p>
  <w:p w:rsidR="00E32DD2" w:rsidRPr="00D439F4" w:rsidRDefault="00E32DD2">
    <w:pPr>
      <w:pStyle w:val="Footer"/>
      <w:pBdr>
        <w:top w:val="single" w:sz="4" w:space="1" w:color="auto"/>
      </w:pBdr>
      <w:rPr>
        <w:rFonts w:cs="Times New Roman"/>
        <w:sz w:val="22"/>
        <w:szCs w:val="22"/>
      </w:rPr>
    </w:pPr>
    <w:r w:rsidRPr="003C5ADD">
      <w:rPr>
        <w:rFonts w:cs="Times New Roman"/>
        <w:sz w:val="22"/>
        <w:szCs w:val="22"/>
      </w:rPr>
      <w:t xml:space="preserve">Thailand Futures Exchange </w:t>
    </w:r>
    <w:proofErr w:type="spellStart"/>
    <w:r w:rsidRPr="003C5ADD">
      <w:rPr>
        <w:rFonts w:cs="Times New Roman"/>
        <w:sz w:val="22"/>
        <w:szCs w:val="22"/>
      </w:rPr>
      <w:t>Pcl</w:t>
    </w:r>
    <w:proofErr w:type="spellEnd"/>
    <w:r w:rsidRPr="003C5ADD">
      <w:rPr>
        <w:rFonts w:cs="Times New Roman"/>
        <w:sz w:val="22"/>
        <w:szCs w:val="22"/>
      </w:rPr>
      <w:t xml:space="preserve">.                                                                         February 24, 2006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D2" w:rsidRDefault="00E32DD2">
    <w:pPr>
      <w:pStyle w:val="Footer"/>
      <w:framePr w:wrap="around" w:vAnchor="text" w:hAnchor="margin" w:xAlign="center" w:y="1"/>
      <w:ind w:right="360"/>
      <w:rPr>
        <w:rStyle w:val="PageNumber"/>
        <w:rFonts w:ascii="Angsana New" w:hAnsi="Angsana New"/>
        <w:sz w:val="30"/>
        <w:szCs w:val="30"/>
      </w:rPr>
    </w:pPr>
    <w:r>
      <w:rPr>
        <w:rStyle w:val="PageNumber"/>
        <w:rFonts w:ascii="Angsana New" w:hAnsi="Angsana New"/>
        <w:sz w:val="30"/>
        <w:szCs w:val="30"/>
      </w:rPr>
      <w:t>200-</w:t>
    </w:r>
    <w:r w:rsidR="009E2FDB">
      <w:rPr>
        <w:rStyle w:val="PageNumber"/>
        <w:rFonts w:ascii="Angsana New" w:hAnsi="Angsana New"/>
        <w:sz w:val="30"/>
        <w:szCs w:val="30"/>
      </w:rPr>
      <w:fldChar w:fldCharType="begin"/>
    </w:r>
    <w:r>
      <w:rPr>
        <w:rStyle w:val="PageNumber"/>
        <w:rFonts w:ascii="Angsana New" w:hAnsi="Angsana New"/>
        <w:sz w:val="30"/>
        <w:szCs w:val="30"/>
      </w:rPr>
      <w:instrText xml:space="preserve"> PAGE </w:instrText>
    </w:r>
    <w:r w:rsidR="009E2FDB">
      <w:rPr>
        <w:rStyle w:val="PageNumber"/>
        <w:rFonts w:ascii="Angsana New" w:hAnsi="Angsana New"/>
        <w:sz w:val="30"/>
        <w:szCs w:val="30"/>
      </w:rPr>
      <w:fldChar w:fldCharType="separate"/>
    </w:r>
    <w:r w:rsidR="00274D4C">
      <w:rPr>
        <w:rStyle w:val="PageNumber"/>
        <w:rFonts w:ascii="Angsana New" w:hAnsi="Angsana New"/>
        <w:noProof/>
        <w:sz w:val="30"/>
        <w:szCs w:val="30"/>
      </w:rPr>
      <w:t>1</w:t>
    </w:r>
    <w:r w:rsidR="009E2FDB">
      <w:rPr>
        <w:rStyle w:val="PageNumber"/>
        <w:rFonts w:ascii="Angsana New" w:hAnsi="Angsana New"/>
        <w:sz w:val="30"/>
        <w:szCs w:val="30"/>
      </w:rPr>
      <w:fldChar w:fldCharType="end"/>
    </w:r>
  </w:p>
  <w:p w:rsidR="00E32DD2" w:rsidRPr="00D439F4" w:rsidRDefault="00E32DD2">
    <w:pPr>
      <w:pStyle w:val="Footer"/>
      <w:pBdr>
        <w:top w:val="single" w:sz="4" w:space="1" w:color="auto"/>
      </w:pBdr>
      <w:rPr>
        <w:rFonts w:cs="Times New Roman"/>
        <w:sz w:val="22"/>
        <w:szCs w:val="22"/>
      </w:rPr>
    </w:pPr>
    <w:r w:rsidRPr="003C5ADD">
      <w:rPr>
        <w:rFonts w:cs="Times New Roman"/>
        <w:sz w:val="22"/>
        <w:szCs w:val="22"/>
      </w:rPr>
      <w:t xml:space="preserve">Thailand Futures Exchange </w:t>
    </w:r>
    <w:proofErr w:type="spellStart"/>
    <w:r w:rsidRPr="003C5ADD">
      <w:rPr>
        <w:rFonts w:cs="Times New Roman"/>
        <w:sz w:val="22"/>
        <w:szCs w:val="22"/>
      </w:rPr>
      <w:t>Pcl</w:t>
    </w:r>
    <w:proofErr w:type="spellEnd"/>
    <w:r w:rsidRPr="003C5ADD">
      <w:rPr>
        <w:rFonts w:cs="Times New Roman"/>
        <w:sz w:val="22"/>
        <w:szCs w:val="22"/>
      </w:rPr>
      <w:t xml:space="preserve">.                                                                          February 24, 2006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D2" w:rsidRDefault="00E32DD2">
      <w:r>
        <w:separator/>
      </w:r>
    </w:p>
  </w:footnote>
  <w:footnote w:type="continuationSeparator" w:id="0">
    <w:p w:rsidR="00E32DD2" w:rsidRDefault="00E3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D2" w:rsidRDefault="00E32DD2" w:rsidP="00F0337A">
    <w:pPr>
      <w:jc w:val="center"/>
      <w:rPr>
        <w:rFonts w:cs="Times New Roman"/>
        <w:sz w:val="22"/>
        <w:szCs w:val="22"/>
      </w:rPr>
    </w:pPr>
  </w:p>
  <w:p w:rsidR="00E32DD2" w:rsidRDefault="00E32DD2" w:rsidP="00F0337A">
    <w:pPr>
      <w:jc w:val="center"/>
      <w:rPr>
        <w:rFonts w:cs="Times New Roman"/>
        <w:sz w:val="22"/>
        <w:szCs w:val="22"/>
      </w:rPr>
    </w:pPr>
    <w:r w:rsidRPr="003C5ADD">
      <w:rPr>
        <w:rFonts w:cs="Times New Roman"/>
        <w:sz w:val="22"/>
        <w:szCs w:val="22"/>
      </w:rPr>
      <w:t>(UNOFFICIAL TRANSLATION)</w:t>
    </w:r>
  </w:p>
  <w:p w:rsidR="00E32DD2" w:rsidRPr="009A4867" w:rsidRDefault="00E32DD2" w:rsidP="00F0337A">
    <w:pPr>
      <w:jc w:val="center"/>
      <w:rPr>
        <w:rFonts w:cs="Times New Roman"/>
        <w:sz w:val="22"/>
        <w:szCs w:val="22"/>
      </w:rPr>
    </w:pPr>
  </w:p>
  <w:p w:rsidR="00E32DD2" w:rsidRDefault="00E32DD2">
    <w:pPr>
      <w:pStyle w:val="Header"/>
      <w:spacing w:line="276" w:lineRule="auto"/>
      <w:jc w:val="right"/>
      <w:rPr>
        <w:rFonts w:cs="Times New Roman"/>
        <w:sz w:val="22"/>
        <w:szCs w:val="22"/>
      </w:rPr>
    </w:pPr>
    <w:r w:rsidRPr="003C5ADD">
      <w:rPr>
        <w:rFonts w:cs="Times New Roman"/>
        <w:sz w:val="22"/>
        <w:szCs w:val="22"/>
      </w:rPr>
      <w:t xml:space="preserve">Regulations of TFEX </w:t>
    </w:r>
  </w:p>
  <w:p w:rsidR="00E32DD2" w:rsidRDefault="00E32DD2">
    <w:pPr>
      <w:pStyle w:val="Header"/>
      <w:spacing w:line="276" w:lineRule="auto"/>
      <w:jc w:val="right"/>
      <w:rPr>
        <w:rFonts w:cs="Times New Roman"/>
        <w:sz w:val="22"/>
        <w:szCs w:val="22"/>
      </w:rPr>
    </w:pPr>
    <w:r w:rsidRPr="003C5ADD">
      <w:rPr>
        <w:rFonts w:cs="Times New Roman"/>
        <w:sz w:val="22"/>
        <w:szCs w:val="22"/>
      </w:rPr>
      <w:t>Chapter</w:t>
    </w:r>
    <w:r w:rsidRPr="003C5ADD">
      <w:rPr>
        <w:rFonts w:cs="Times New Roman"/>
        <w:sz w:val="22"/>
        <w:szCs w:val="22"/>
        <w:cs/>
      </w:rPr>
      <w:t xml:space="preserve"> 200 </w:t>
    </w:r>
    <w:r w:rsidRPr="003C5ADD">
      <w:rPr>
        <w:rFonts w:cs="Times New Roman"/>
        <w:sz w:val="22"/>
        <w:szCs w:val="22"/>
      </w:rPr>
      <w:t>Definitions</w:t>
    </w:r>
  </w:p>
  <w:p w:rsidR="00E32DD2" w:rsidRDefault="00E32DD2">
    <w:pPr>
      <w:pStyle w:val="Header"/>
      <w:spacing w:line="276" w:lineRule="auto"/>
      <w:jc w:val="right"/>
      <w:rPr>
        <w:rFonts w:cs="Times New Roman"/>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9055F"/>
    <w:multiLevelType w:val="hybridMultilevel"/>
    <w:tmpl w:val="06C0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A8215A"/>
    <w:multiLevelType w:val="hybridMultilevel"/>
    <w:tmpl w:val="F1528A7A"/>
    <w:lvl w:ilvl="0" w:tplc="A7D2A20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87"/>
  <w:displayVerticalDrawingGridEvery w:val="2"/>
  <w:characterSpacingControl w:val="doNotCompress"/>
  <w:footnotePr>
    <w:footnote w:id="-1"/>
    <w:footnote w:id="0"/>
  </w:footnotePr>
  <w:endnotePr>
    <w:endnote w:id="-1"/>
    <w:endnote w:id="0"/>
  </w:endnotePr>
  <w:compat>
    <w:applyBreakingRules/>
  </w:compat>
  <w:rsids>
    <w:rsidRoot w:val="00281ED0"/>
    <w:rsid w:val="0000406B"/>
    <w:rsid w:val="000336A0"/>
    <w:rsid w:val="000441B9"/>
    <w:rsid w:val="00051B5A"/>
    <w:rsid w:val="00066864"/>
    <w:rsid w:val="00071420"/>
    <w:rsid w:val="00081BA0"/>
    <w:rsid w:val="0009110B"/>
    <w:rsid w:val="00092B32"/>
    <w:rsid w:val="000F438A"/>
    <w:rsid w:val="001035AB"/>
    <w:rsid w:val="00114F7C"/>
    <w:rsid w:val="00131537"/>
    <w:rsid w:val="00136A25"/>
    <w:rsid w:val="0017080D"/>
    <w:rsid w:val="00176F36"/>
    <w:rsid w:val="001B5F1C"/>
    <w:rsid w:val="001E3A3F"/>
    <w:rsid w:val="001E6A76"/>
    <w:rsid w:val="001E7E56"/>
    <w:rsid w:val="00203604"/>
    <w:rsid w:val="00274D4C"/>
    <w:rsid w:val="00281ED0"/>
    <w:rsid w:val="00284F5D"/>
    <w:rsid w:val="00293244"/>
    <w:rsid w:val="002A273F"/>
    <w:rsid w:val="002D6512"/>
    <w:rsid w:val="003236EF"/>
    <w:rsid w:val="00327427"/>
    <w:rsid w:val="00330C88"/>
    <w:rsid w:val="00335037"/>
    <w:rsid w:val="00347388"/>
    <w:rsid w:val="00357EA9"/>
    <w:rsid w:val="003615C3"/>
    <w:rsid w:val="003B76A6"/>
    <w:rsid w:val="003C5ADD"/>
    <w:rsid w:val="003D1F40"/>
    <w:rsid w:val="003D5771"/>
    <w:rsid w:val="004022BD"/>
    <w:rsid w:val="0040282B"/>
    <w:rsid w:val="00407775"/>
    <w:rsid w:val="00455FB8"/>
    <w:rsid w:val="00457F3C"/>
    <w:rsid w:val="004B2517"/>
    <w:rsid w:val="004B2A9F"/>
    <w:rsid w:val="004C3A32"/>
    <w:rsid w:val="004E035C"/>
    <w:rsid w:val="004E5BFE"/>
    <w:rsid w:val="004E6458"/>
    <w:rsid w:val="00531056"/>
    <w:rsid w:val="0053416B"/>
    <w:rsid w:val="005455CB"/>
    <w:rsid w:val="00555104"/>
    <w:rsid w:val="00556463"/>
    <w:rsid w:val="00590900"/>
    <w:rsid w:val="0059171B"/>
    <w:rsid w:val="005A1447"/>
    <w:rsid w:val="005C2AF2"/>
    <w:rsid w:val="005D7BB5"/>
    <w:rsid w:val="005D7C3D"/>
    <w:rsid w:val="005E177A"/>
    <w:rsid w:val="005F33FC"/>
    <w:rsid w:val="006059E3"/>
    <w:rsid w:val="00642B2C"/>
    <w:rsid w:val="00644054"/>
    <w:rsid w:val="006B0AB4"/>
    <w:rsid w:val="007942F3"/>
    <w:rsid w:val="007953C9"/>
    <w:rsid w:val="00801756"/>
    <w:rsid w:val="00817B8A"/>
    <w:rsid w:val="00831F92"/>
    <w:rsid w:val="00833EA6"/>
    <w:rsid w:val="00861CB3"/>
    <w:rsid w:val="00865B08"/>
    <w:rsid w:val="0088407E"/>
    <w:rsid w:val="008C0614"/>
    <w:rsid w:val="00933F67"/>
    <w:rsid w:val="0096617D"/>
    <w:rsid w:val="00967C13"/>
    <w:rsid w:val="009900A2"/>
    <w:rsid w:val="009926ED"/>
    <w:rsid w:val="009937DE"/>
    <w:rsid w:val="009A4867"/>
    <w:rsid w:val="009C104A"/>
    <w:rsid w:val="009E24C4"/>
    <w:rsid w:val="009E2FDB"/>
    <w:rsid w:val="00A02D35"/>
    <w:rsid w:val="00A076DE"/>
    <w:rsid w:val="00A27272"/>
    <w:rsid w:val="00A31ED5"/>
    <w:rsid w:val="00A43461"/>
    <w:rsid w:val="00A8237A"/>
    <w:rsid w:val="00A845C2"/>
    <w:rsid w:val="00A86645"/>
    <w:rsid w:val="00AB54D2"/>
    <w:rsid w:val="00AC33C6"/>
    <w:rsid w:val="00AE263F"/>
    <w:rsid w:val="00AF2E3E"/>
    <w:rsid w:val="00B0010B"/>
    <w:rsid w:val="00B102E6"/>
    <w:rsid w:val="00B15F6E"/>
    <w:rsid w:val="00B65C80"/>
    <w:rsid w:val="00B82D74"/>
    <w:rsid w:val="00B91878"/>
    <w:rsid w:val="00C05A40"/>
    <w:rsid w:val="00C56BBE"/>
    <w:rsid w:val="00C71EDE"/>
    <w:rsid w:val="00C84D25"/>
    <w:rsid w:val="00C87500"/>
    <w:rsid w:val="00CA16DF"/>
    <w:rsid w:val="00CF6A2E"/>
    <w:rsid w:val="00D439F4"/>
    <w:rsid w:val="00D50C7D"/>
    <w:rsid w:val="00D51AE6"/>
    <w:rsid w:val="00D5654C"/>
    <w:rsid w:val="00D91E14"/>
    <w:rsid w:val="00DA52B4"/>
    <w:rsid w:val="00DB66E8"/>
    <w:rsid w:val="00DE0F01"/>
    <w:rsid w:val="00E23712"/>
    <w:rsid w:val="00E32DD2"/>
    <w:rsid w:val="00E45332"/>
    <w:rsid w:val="00E50780"/>
    <w:rsid w:val="00E905C2"/>
    <w:rsid w:val="00E92861"/>
    <w:rsid w:val="00EA3621"/>
    <w:rsid w:val="00F0337A"/>
    <w:rsid w:val="00F1699C"/>
    <w:rsid w:val="00F36542"/>
    <w:rsid w:val="00F401C2"/>
    <w:rsid w:val="00FB1658"/>
    <w:rsid w:val="00FC40EB"/>
    <w:rsid w:val="00FF513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ED0"/>
    <w:rPr>
      <w:sz w:val="24"/>
      <w:szCs w:val="32"/>
    </w:rPr>
  </w:style>
  <w:style w:type="paragraph" w:styleId="Heading1">
    <w:name w:val="heading 1"/>
    <w:basedOn w:val="Normal"/>
    <w:next w:val="Normal"/>
    <w:qFormat/>
    <w:rsid w:val="00281ED0"/>
    <w:pPr>
      <w:keepNext/>
      <w:spacing w:line="360" w:lineRule="auto"/>
      <w:jc w:val="right"/>
      <w:outlineLvl w:val="0"/>
    </w:pPr>
    <w:rPr>
      <w:rFonts w:ascii="Angsana New" w:hAnsi="Angsana New"/>
      <w:b/>
      <w:bCs/>
      <w:sz w:val="30"/>
      <w:szCs w:val="30"/>
    </w:rPr>
  </w:style>
  <w:style w:type="paragraph" w:styleId="Heading2">
    <w:name w:val="heading 2"/>
    <w:basedOn w:val="Normal"/>
    <w:next w:val="Normal"/>
    <w:qFormat/>
    <w:rsid w:val="00281ED0"/>
    <w:pPr>
      <w:keepNext/>
      <w:spacing w:line="360" w:lineRule="auto"/>
      <w:jc w:val="center"/>
      <w:outlineLvl w:val="1"/>
    </w:pPr>
    <w:rPr>
      <w:rFonts w:ascii="Angsana New" w:hAnsi="Angsana New"/>
      <w:b/>
      <w:bCs/>
      <w:sz w:val="30"/>
      <w:szCs w:val="30"/>
    </w:rPr>
  </w:style>
  <w:style w:type="paragraph" w:styleId="Heading3">
    <w:name w:val="heading 3"/>
    <w:basedOn w:val="Normal"/>
    <w:next w:val="Normal"/>
    <w:qFormat/>
    <w:rsid w:val="00281ED0"/>
    <w:pPr>
      <w:keepNext/>
      <w:spacing w:line="360" w:lineRule="auto"/>
      <w:jc w:val="center"/>
      <w:outlineLvl w:val="2"/>
    </w:pPr>
    <w:rPr>
      <w:rFonts w:ascii="Angsana New" w:hAnsi="Angsana New"/>
      <w:b/>
      <w:bCs/>
      <w:color w:val="FF0000"/>
      <w:sz w:val="30"/>
      <w:szCs w:val="30"/>
    </w:rPr>
  </w:style>
  <w:style w:type="paragraph" w:styleId="Heading4">
    <w:name w:val="heading 4"/>
    <w:basedOn w:val="Normal"/>
    <w:next w:val="Normal"/>
    <w:qFormat/>
    <w:rsid w:val="00281ED0"/>
    <w:pPr>
      <w:keepNext/>
      <w:spacing w:line="360" w:lineRule="auto"/>
      <w:jc w:val="both"/>
      <w:outlineLvl w:val="3"/>
    </w:pPr>
    <w:rPr>
      <w:rFonts w:ascii="Angsana New" w:hAnsi="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1ED0"/>
    <w:pPr>
      <w:tabs>
        <w:tab w:val="center" w:pos="4153"/>
        <w:tab w:val="right" w:pos="8306"/>
      </w:tabs>
    </w:pPr>
  </w:style>
  <w:style w:type="character" w:styleId="PageNumber">
    <w:name w:val="page number"/>
    <w:basedOn w:val="DefaultParagraphFont"/>
    <w:rsid w:val="00281ED0"/>
  </w:style>
  <w:style w:type="paragraph" w:styleId="Header">
    <w:name w:val="header"/>
    <w:basedOn w:val="Normal"/>
    <w:rsid w:val="00281ED0"/>
    <w:pPr>
      <w:tabs>
        <w:tab w:val="center" w:pos="4153"/>
        <w:tab w:val="right" w:pos="8306"/>
      </w:tabs>
    </w:pPr>
    <w:rPr>
      <w:szCs w:val="28"/>
    </w:rPr>
  </w:style>
  <w:style w:type="paragraph" w:styleId="Title">
    <w:name w:val="Title"/>
    <w:basedOn w:val="Normal"/>
    <w:qFormat/>
    <w:rsid w:val="00281ED0"/>
    <w:pPr>
      <w:spacing w:line="360" w:lineRule="auto"/>
      <w:jc w:val="center"/>
    </w:pPr>
    <w:rPr>
      <w:rFonts w:ascii="Angsana New" w:hAnsi="Angsana New"/>
      <w:b/>
      <w:bCs/>
      <w:sz w:val="44"/>
      <w:szCs w:val="44"/>
    </w:rPr>
  </w:style>
  <w:style w:type="paragraph" w:styleId="BodyText">
    <w:name w:val="Body Text"/>
    <w:basedOn w:val="Normal"/>
    <w:rsid w:val="00281ED0"/>
    <w:pPr>
      <w:spacing w:line="360" w:lineRule="auto"/>
      <w:jc w:val="both"/>
    </w:pPr>
    <w:rPr>
      <w:rFonts w:ascii="Angsana New" w:hAnsi="Angsana New"/>
      <w:sz w:val="30"/>
      <w:szCs w:val="30"/>
    </w:rPr>
  </w:style>
  <w:style w:type="paragraph" w:styleId="BodyTextIndent2">
    <w:name w:val="Body Text Indent 2"/>
    <w:basedOn w:val="Normal"/>
    <w:rsid w:val="004E5BFE"/>
    <w:pPr>
      <w:spacing w:after="120" w:line="480" w:lineRule="auto"/>
      <w:ind w:left="360"/>
    </w:pPr>
  </w:style>
  <w:style w:type="paragraph" w:styleId="BalloonText">
    <w:name w:val="Balloon Text"/>
    <w:basedOn w:val="Normal"/>
    <w:semiHidden/>
    <w:rsid w:val="004E5BFE"/>
    <w:rPr>
      <w:rFonts w:ascii="Tahoma" w:hAnsi="Tahoma" w:cs="Tahoma"/>
      <w:sz w:val="16"/>
      <w:szCs w:val="16"/>
    </w:rPr>
  </w:style>
  <w:style w:type="character" w:styleId="CommentReference">
    <w:name w:val="annotation reference"/>
    <w:basedOn w:val="DefaultParagraphFont"/>
    <w:rsid w:val="004B2A9F"/>
    <w:rPr>
      <w:sz w:val="16"/>
      <w:szCs w:val="18"/>
    </w:rPr>
  </w:style>
  <w:style w:type="paragraph" w:styleId="CommentText">
    <w:name w:val="annotation text"/>
    <w:basedOn w:val="Normal"/>
    <w:link w:val="CommentTextChar"/>
    <w:rsid w:val="004B2A9F"/>
    <w:rPr>
      <w:sz w:val="20"/>
      <w:szCs w:val="25"/>
    </w:rPr>
  </w:style>
  <w:style w:type="character" w:customStyle="1" w:styleId="CommentTextChar">
    <w:name w:val="Comment Text Char"/>
    <w:basedOn w:val="DefaultParagraphFont"/>
    <w:link w:val="CommentText"/>
    <w:rsid w:val="004B2A9F"/>
    <w:rPr>
      <w:szCs w:val="25"/>
    </w:rPr>
  </w:style>
  <w:style w:type="paragraph" w:styleId="CommentSubject">
    <w:name w:val="annotation subject"/>
    <w:basedOn w:val="CommentText"/>
    <w:next w:val="CommentText"/>
    <w:link w:val="CommentSubjectChar"/>
    <w:rsid w:val="004B2A9F"/>
    <w:rPr>
      <w:b/>
      <w:bCs/>
    </w:rPr>
  </w:style>
  <w:style w:type="character" w:customStyle="1" w:styleId="CommentSubjectChar">
    <w:name w:val="Comment Subject Char"/>
    <w:basedOn w:val="CommentTextChar"/>
    <w:link w:val="CommentSubject"/>
    <w:rsid w:val="004B2A9F"/>
    <w:rPr>
      <w:b/>
      <w:bCs/>
    </w:rPr>
  </w:style>
  <w:style w:type="paragraph" w:styleId="Revision">
    <w:name w:val="Revision"/>
    <w:hidden/>
    <w:uiPriority w:val="99"/>
    <w:semiHidden/>
    <w:rsid w:val="006059E3"/>
    <w:rPr>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ules xmlns="1eef9d45-eb04-4e04-8a4f-b6967ead5b7b">TFEX</Rules>
    <Notified xmlns="1eef9d45-eb04-4e04-8a4f-b6967ead5b7b">2017-08-22T17:00:00+00:00</Notified>
    <_x0e1b__x0e23__x0e30__x0e40__x0e20__x0e17_ xmlns="1eef9d45-eb04-4e04-8a4f-b6967ead5b7b">รายฉบับประมวล</_x0e1b__x0e23__x0e30__x0e40__x0e20__x0e17_>
    <CHAPTER xmlns="1eef9d45-eb04-4e04-8a4f-b6967ead5b7b">1 TFEX</CHAPTER>
    <Status xmlns="1eef9d45-eb04-4e04-8a4f-b6967ead5b7b">Force</Status>
    <Note xmlns="1eef9d45-eb04-4e04-8a4f-b6967ead5b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3DBD5-8282-47F8-BF49-F4BF17F061A3}">
  <ds:schemaRefs>
    <ds:schemaRef ds:uri="http://schemas.microsoft.com/office/2006/metadata/longProperties"/>
  </ds:schemaRefs>
</ds:datastoreItem>
</file>

<file path=customXml/itemProps2.xml><?xml version="1.0" encoding="utf-8"?>
<ds:datastoreItem xmlns:ds="http://schemas.openxmlformats.org/officeDocument/2006/customXml" ds:itemID="{8570BCB2-7261-4351-AE2D-BF8B838593B9}">
  <ds:schemaRefs>
    <ds:schemaRef ds:uri="http://schemas.microsoft.com/sharepoint/v3/contenttype/forms"/>
  </ds:schemaRefs>
</ds:datastoreItem>
</file>

<file path=customXml/itemProps3.xml><?xml version="1.0" encoding="utf-8"?>
<ds:datastoreItem xmlns:ds="http://schemas.openxmlformats.org/officeDocument/2006/customXml" ds:itemID="{8BD38F7F-DE5E-4192-8F98-F4DA9B27A97D}">
  <ds:schemaRefs>
    <ds:schemaRef ds:uri="http://schemas.microsoft.com/office/2006/metadata/properties"/>
    <ds:schemaRef ds:uri="9B09FDAD-FDC5-4622-B52F-3595269C6D8F"/>
    <ds:schemaRef ds:uri="1eef9d45-eb04-4e04-8a4f-b6967ead5b7b"/>
  </ds:schemaRefs>
</ds:datastoreItem>
</file>

<file path=customXml/itemProps4.xml><?xml version="1.0" encoding="utf-8"?>
<ds:datastoreItem xmlns:ds="http://schemas.openxmlformats.org/officeDocument/2006/customXml" ds:itemID="{CF81753A-936C-44E8-821C-1AD4F85C6727}"/>
</file>

<file path=docProps/app.xml><?xml version="1.0" encoding="utf-8"?>
<Properties xmlns="http://schemas.openxmlformats.org/officeDocument/2006/extended-properties" xmlns:vt="http://schemas.openxmlformats.org/officeDocument/2006/docPropsVTypes">
  <Template>Normal</Template>
  <TotalTime>32</TotalTime>
  <Pages>7</Pages>
  <Words>2290</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suwimol</dc:creator>
  <cp:lastModifiedBy>tipayawan</cp:lastModifiedBy>
  <cp:revision>7</cp:revision>
  <cp:lastPrinted>2017-02-23T02:24:00Z</cp:lastPrinted>
  <dcterms:created xsi:type="dcterms:W3CDTF">2017-09-06T09:36:00Z</dcterms:created>
  <dcterms:modified xsi:type="dcterms:W3CDTF">2017-09-08T04:25:00Z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0x010100CA1F1C203EBF114CA5496F18E84E0A53</vt:lpwstr>
  </property>
</Properties>
</file>